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01" w:rsidRPr="0066606F" w:rsidRDefault="000D43C0" w:rsidP="00E06AFA">
      <w:pPr>
        <w:spacing w:line="312" w:lineRule="auto"/>
        <w:jc w:val="center"/>
        <w:rPr>
          <w:rFonts w:ascii="Times New Roman" w:hAnsi="Times New Roman" w:cs="Times New Roman"/>
          <w:b/>
          <w:smallCaps/>
          <w:spacing w:val="20"/>
        </w:rPr>
      </w:pPr>
      <w:r w:rsidRPr="0066606F">
        <w:rPr>
          <w:rFonts w:ascii="Times New Roman" w:hAnsi="Times New Roman" w:cs="Times New Roman"/>
          <w:b/>
          <w:smallCaps/>
          <w:spacing w:val="20"/>
        </w:rPr>
        <w:t>standard operating procedure for allotment of land/ shed</w:t>
      </w:r>
    </w:p>
    <w:p w:rsidR="003646B2" w:rsidRDefault="003646B2" w:rsidP="00E06AFA">
      <w:pPr>
        <w:pStyle w:val="ListParagraph"/>
        <w:numPr>
          <w:ilvl w:val="0"/>
          <w:numId w:val="1"/>
        </w:numPr>
        <w:spacing w:after="60" w:line="312" w:lineRule="auto"/>
        <w:contextualSpacing w:val="0"/>
        <w:jc w:val="both"/>
        <w:rPr>
          <w:rFonts w:ascii="Times New Roman" w:hAnsi="Times New Roman" w:cs="Times New Roman"/>
        </w:rPr>
      </w:pPr>
      <w:r w:rsidRPr="003666BD">
        <w:rPr>
          <w:rFonts w:ascii="Times New Roman" w:hAnsi="Times New Roman" w:cs="Times New Roman"/>
        </w:rPr>
        <w:t xml:space="preserve">The details of </w:t>
      </w:r>
      <w:r w:rsidRPr="002D4749">
        <w:rPr>
          <w:rFonts w:ascii="Garamond" w:hAnsi="Garamond" w:cs="Times New Roman"/>
          <w:spacing w:val="20"/>
        </w:rPr>
        <w:t>land parcels/</w:t>
      </w:r>
      <w:r w:rsidR="00221866" w:rsidRPr="002D4749">
        <w:rPr>
          <w:rFonts w:ascii="Garamond" w:hAnsi="Garamond" w:cs="Times New Roman"/>
          <w:spacing w:val="20"/>
        </w:rPr>
        <w:t xml:space="preserve"> </w:t>
      </w:r>
      <w:r w:rsidRPr="002D4749">
        <w:rPr>
          <w:rFonts w:ascii="Garamond" w:hAnsi="Garamond" w:cs="Times New Roman"/>
          <w:spacing w:val="20"/>
        </w:rPr>
        <w:t>plots</w:t>
      </w:r>
      <w:r w:rsidR="00221866" w:rsidRPr="002D4749">
        <w:rPr>
          <w:rFonts w:ascii="Garamond" w:hAnsi="Garamond" w:cs="Times New Roman"/>
          <w:spacing w:val="20"/>
        </w:rPr>
        <w:t>/ sheds</w:t>
      </w:r>
      <w:r w:rsidR="002D4749" w:rsidRPr="002D4749">
        <w:rPr>
          <w:rFonts w:ascii="Garamond" w:hAnsi="Garamond" w:cs="Times New Roman"/>
          <w:spacing w:val="20"/>
        </w:rPr>
        <w:t>/ space within constructed buildings</w:t>
      </w:r>
      <w:r w:rsidR="002D4749">
        <w:rPr>
          <w:rFonts w:ascii="Times New Roman" w:hAnsi="Times New Roman" w:cs="Times New Roman"/>
        </w:rPr>
        <w:t xml:space="preserve"> – </w:t>
      </w:r>
      <w:r w:rsidRPr="003666BD">
        <w:rPr>
          <w:rFonts w:ascii="Times New Roman" w:hAnsi="Times New Roman" w:cs="Times New Roman"/>
        </w:rPr>
        <w:t xml:space="preserve">available for allotment </w:t>
      </w:r>
      <w:r w:rsidR="002D4749">
        <w:rPr>
          <w:rFonts w:ascii="Times New Roman" w:hAnsi="Times New Roman" w:cs="Times New Roman"/>
        </w:rPr>
        <w:t xml:space="preserve">– </w:t>
      </w:r>
      <w:r w:rsidR="00E06AFA">
        <w:rPr>
          <w:rFonts w:ascii="Times New Roman" w:hAnsi="Times New Roman" w:cs="Times New Roman"/>
        </w:rPr>
        <w:t xml:space="preserve">would </w:t>
      </w:r>
      <w:r w:rsidR="00221866">
        <w:rPr>
          <w:rFonts w:ascii="Times New Roman" w:hAnsi="Times New Roman" w:cs="Times New Roman"/>
        </w:rPr>
        <w:t>be</w:t>
      </w:r>
      <w:r w:rsidRPr="003666BD">
        <w:rPr>
          <w:rFonts w:ascii="Times New Roman" w:hAnsi="Times New Roman" w:cs="Times New Roman"/>
        </w:rPr>
        <w:t xml:space="preserve"> listed, tabulated and geo-tagged. This database </w:t>
      </w:r>
      <w:r w:rsidR="00221866">
        <w:rPr>
          <w:rFonts w:ascii="Times New Roman" w:hAnsi="Times New Roman" w:cs="Times New Roman"/>
        </w:rPr>
        <w:t>shall be</w:t>
      </w:r>
      <w:r w:rsidRPr="003666BD">
        <w:rPr>
          <w:rFonts w:ascii="Times New Roman" w:hAnsi="Times New Roman" w:cs="Times New Roman"/>
        </w:rPr>
        <w:t xml:space="preserve"> made available on </w:t>
      </w:r>
      <w:r w:rsidR="00B731D5" w:rsidRPr="00B731D5">
        <w:rPr>
          <w:rFonts w:ascii="Times New Roman" w:hAnsi="Times New Roman" w:cs="Times New Roman"/>
          <w:b/>
        </w:rPr>
        <w:t>Ease of Doing Business</w:t>
      </w:r>
      <w:r w:rsidR="00B731D5">
        <w:rPr>
          <w:rFonts w:ascii="Times New Roman" w:hAnsi="Times New Roman" w:cs="Times New Roman"/>
        </w:rPr>
        <w:t xml:space="preserve"> (</w:t>
      </w:r>
      <w:r w:rsidRPr="00B731D5">
        <w:rPr>
          <w:rFonts w:ascii="Times New Roman" w:hAnsi="Times New Roman" w:cs="Times New Roman"/>
          <w:b/>
        </w:rPr>
        <w:t>EoDB</w:t>
      </w:r>
      <w:r w:rsidR="00B731D5">
        <w:rPr>
          <w:rFonts w:ascii="Times New Roman" w:hAnsi="Times New Roman" w:cs="Times New Roman"/>
          <w:b/>
        </w:rPr>
        <w:t>)</w:t>
      </w:r>
      <w:r w:rsidRPr="00B731D5">
        <w:rPr>
          <w:rFonts w:ascii="Times New Roman" w:hAnsi="Times New Roman" w:cs="Times New Roman"/>
          <w:b/>
        </w:rPr>
        <w:t xml:space="preserve"> portal</w:t>
      </w:r>
      <w:r w:rsidRPr="003666BD">
        <w:rPr>
          <w:rFonts w:ascii="Times New Roman" w:hAnsi="Times New Roman" w:cs="Times New Roman"/>
        </w:rPr>
        <w:t xml:space="preserve"> and websites of various </w:t>
      </w:r>
      <w:r w:rsidR="00610DB5">
        <w:rPr>
          <w:rFonts w:ascii="Times New Roman" w:hAnsi="Times New Roman" w:cs="Times New Roman"/>
        </w:rPr>
        <w:t>agencies [</w:t>
      </w:r>
      <w:r w:rsidR="00610DB5">
        <w:rPr>
          <w:rFonts w:ascii="Times New Roman" w:hAnsi="Times New Roman" w:cs="Times New Roman"/>
          <w:i/>
        </w:rPr>
        <w:t xml:space="preserve">i.e. </w:t>
      </w:r>
      <w:r w:rsidRPr="003666BD">
        <w:rPr>
          <w:rFonts w:ascii="Times New Roman" w:hAnsi="Times New Roman" w:cs="Times New Roman"/>
        </w:rPr>
        <w:t>In</w:t>
      </w:r>
      <w:r w:rsidR="00610DB5">
        <w:rPr>
          <w:rFonts w:ascii="Times New Roman" w:hAnsi="Times New Roman" w:cs="Times New Roman"/>
        </w:rPr>
        <w:t>dustrial</w:t>
      </w:r>
      <w:r w:rsidRPr="003666BD">
        <w:rPr>
          <w:rFonts w:ascii="Times New Roman" w:hAnsi="Times New Roman" w:cs="Times New Roman"/>
        </w:rPr>
        <w:t xml:space="preserve"> Development Corporation</w:t>
      </w:r>
      <w:r w:rsidR="005E5DA3">
        <w:rPr>
          <w:rFonts w:ascii="Times New Roman" w:hAnsi="Times New Roman" w:cs="Times New Roman"/>
        </w:rPr>
        <w:t>s</w:t>
      </w:r>
      <w:r w:rsidR="00610DB5">
        <w:rPr>
          <w:rFonts w:ascii="Times New Roman" w:hAnsi="Times New Roman" w:cs="Times New Roman"/>
        </w:rPr>
        <w:t xml:space="preserve"> (IDCs) and the Commissionerate of Industries &amp; Commerce (C–I&amp;C)]</w:t>
      </w:r>
      <w:r w:rsidR="009D232E">
        <w:rPr>
          <w:rFonts w:ascii="Times New Roman" w:hAnsi="Times New Roman" w:cs="Times New Roman"/>
        </w:rPr>
        <w:t>.</w:t>
      </w:r>
      <w:r w:rsidR="00E06AFA">
        <w:rPr>
          <w:rFonts w:ascii="Times New Roman" w:hAnsi="Times New Roman" w:cs="Times New Roman"/>
        </w:rPr>
        <w:t xml:space="preserve"> The databases hosted by EoDB portal and the websites concerned would be hyperlinked to one another, and synced on a regular basis.</w:t>
      </w:r>
      <w:r w:rsidR="00D73B26">
        <w:rPr>
          <w:rFonts w:ascii="Times New Roman" w:hAnsi="Times New Roman" w:cs="Times New Roman"/>
        </w:rPr>
        <w:t xml:space="preserve"> These databases would thus be integrated and together form a comprehensive mega-database – representing the Industrial Land Bank and accessible from all the websites. </w:t>
      </w:r>
    </w:p>
    <w:p w:rsidR="00E06AFA" w:rsidRPr="003666BD" w:rsidRDefault="00E06AFA" w:rsidP="00E06AFA">
      <w:pPr>
        <w:pStyle w:val="ListParagraph"/>
        <w:spacing w:after="240" w:line="312" w:lineRule="auto"/>
        <w:ind w:firstLine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10DB5">
        <w:rPr>
          <w:rFonts w:ascii="Times New Roman" w:hAnsi="Times New Roman" w:cs="Times New Roman"/>
        </w:rPr>
        <w:t>Agencies would update their respective databases, and sync them with the EoDB Website, on a monthly basis [</w:t>
      </w:r>
      <w:r w:rsidR="00D73B26">
        <w:rPr>
          <w:rFonts w:ascii="Times New Roman" w:hAnsi="Times New Roman" w:cs="Times New Roman"/>
        </w:rPr>
        <w:t>and</w:t>
      </w:r>
      <w:r w:rsidR="00610DB5">
        <w:rPr>
          <w:rFonts w:ascii="Times New Roman" w:hAnsi="Times New Roman" w:cs="Times New Roman"/>
        </w:rPr>
        <w:t xml:space="preserve"> eventually – on a real-time basis automatically].</w:t>
      </w:r>
      <w:r w:rsidR="00D73B26">
        <w:rPr>
          <w:rFonts w:ascii="Times New Roman" w:hAnsi="Times New Roman" w:cs="Times New Roman"/>
        </w:rPr>
        <w:t xml:space="preserve"> </w:t>
      </w:r>
    </w:p>
    <w:p w:rsidR="00362B3E" w:rsidRPr="00362B3E" w:rsidRDefault="00362B3E" w:rsidP="00E06AFA">
      <w:pPr>
        <w:pStyle w:val="ListParagraph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hAnsi="Times New Roman" w:cs="Times New Roman"/>
        </w:rPr>
      </w:pPr>
      <w:r w:rsidRPr="00362B3E">
        <w:rPr>
          <w:rFonts w:ascii="Times New Roman" w:hAnsi="Times New Roman" w:cs="Times New Roman"/>
        </w:rPr>
        <w:t xml:space="preserve">Any entrepreneur requiring </w:t>
      </w:r>
      <w:r w:rsidR="00E06AFA">
        <w:rPr>
          <w:rFonts w:ascii="Times New Roman" w:hAnsi="Times New Roman" w:cs="Times New Roman"/>
        </w:rPr>
        <w:t xml:space="preserve">– (i) </w:t>
      </w:r>
      <w:r w:rsidRPr="00362B3E">
        <w:rPr>
          <w:rFonts w:ascii="Times New Roman" w:hAnsi="Times New Roman" w:cs="Times New Roman"/>
        </w:rPr>
        <w:t>land within the Industrial Estates</w:t>
      </w:r>
      <w:r w:rsidR="002D4749">
        <w:rPr>
          <w:rFonts w:ascii="Times New Roman" w:hAnsi="Times New Roman" w:cs="Times New Roman"/>
        </w:rPr>
        <w:t>, I</w:t>
      </w:r>
      <w:r w:rsidR="00E06AFA">
        <w:rPr>
          <w:rFonts w:ascii="Times New Roman" w:hAnsi="Times New Roman" w:cs="Times New Roman"/>
        </w:rPr>
        <w:t xml:space="preserve">ntegrated </w:t>
      </w:r>
      <w:r w:rsidR="002D4749">
        <w:rPr>
          <w:rFonts w:ascii="Times New Roman" w:hAnsi="Times New Roman" w:cs="Times New Roman"/>
        </w:rPr>
        <w:t>I</w:t>
      </w:r>
      <w:r w:rsidR="00E06AFA">
        <w:rPr>
          <w:rFonts w:ascii="Times New Roman" w:hAnsi="Times New Roman" w:cs="Times New Roman"/>
        </w:rPr>
        <w:t xml:space="preserve">ndustrial </w:t>
      </w:r>
      <w:r w:rsidR="002D4749">
        <w:rPr>
          <w:rFonts w:ascii="Times New Roman" w:hAnsi="Times New Roman" w:cs="Times New Roman"/>
        </w:rPr>
        <w:t>D</w:t>
      </w:r>
      <w:r w:rsidR="00E06AFA">
        <w:rPr>
          <w:rFonts w:ascii="Times New Roman" w:hAnsi="Times New Roman" w:cs="Times New Roman"/>
        </w:rPr>
        <w:t xml:space="preserve">evelopment </w:t>
      </w:r>
      <w:r w:rsidR="002D4749">
        <w:rPr>
          <w:rFonts w:ascii="Times New Roman" w:hAnsi="Times New Roman" w:cs="Times New Roman"/>
        </w:rPr>
        <w:t>C</w:t>
      </w:r>
      <w:r w:rsidR="00E06AFA">
        <w:rPr>
          <w:rFonts w:ascii="Times New Roman" w:hAnsi="Times New Roman" w:cs="Times New Roman"/>
        </w:rPr>
        <w:t>entres</w:t>
      </w:r>
      <w:r w:rsidR="002D4749">
        <w:rPr>
          <w:rFonts w:ascii="Times New Roman" w:hAnsi="Times New Roman" w:cs="Times New Roman"/>
        </w:rPr>
        <w:t>, I</w:t>
      </w:r>
      <w:r w:rsidR="00E06AFA">
        <w:rPr>
          <w:rFonts w:ascii="Times New Roman" w:hAnsi="Times New Roman" w:cs="Times New Roman"/>
        </w:rPr>
        <w:t xml:space="preserve">ndustrial </w:t>
      </w:r>
      <w:r w:rsidR="002D4749">
        <w:rPr>
          <w:rFonts w:ascii="Times New Roman" w:hAnsi="Times New Roman" w:cs="Times New Roman"/>
        </w:rPr>
        <w:t>G</w:t>
      </w:r>
      <w:r w:rsidR="00E06AFA">
        <w:rPr>
          <w:rFonts w:ascii="Times New Roman" w:hAnsi="Times New Roman" w:cs="Times New Roman"/>
        </w:rPr>
        <w:t xml:space="preserve">rowth </w:t>
      </w:r>
      <w:r w:rsidR="002D4749">
        <w:rPr>
          <w:rFonts w:ascii="Times New Roman" w:hAnsi="Times New Roman" w:cs="Times New Roman"/>
        </w:rPr>
        <w:t>C</w:t>
      </w:r>
      <w:r w:rsidR="00E06AFA">
        <w:rPr>
          <w:rFonts w:ascii="Times New Roman" w:hAnsi="Times New Roman" w:cs="Times New Roman"/>
        </w:rPr>
        <w:t>entres or</w:t>
      </w:r>
      <w:r w:rsidR="002D4749">
        <w:rPr>
          <w:rFonts w:ascii="Times New Roman" w:hAnsi="Times New Roman" w:cs="Times New Roman"/>
        </w:rPr>
        <w:t xml:space="preserve"> Industrial Area</w:t>
      </w:r>
      <w:r w:rsidR="00E06AFA">
        <w:rPr>
          <w:rFonts w:ascii="Times New Roman" w:hAnsi="Times New Roman" w:cs="Times New Roman"/>
        </w:rPr>
        <w:t xml:space="preserve">s; </w:t>
      </w:r>
      <w:r w:rsidR="002D4749">
        <w:rPr>
          <w:rFonts w:ascii="Times New Roman" w:hAnsi="Times New Roman" w:cs="Times New Roman"/>
        </w:rPr>
        <w:t xml:space="preserve">or </w:t>
      </w:r>
      <w:r w:rsidR="00E06AFA">
        <w:rPr>
          <w:rFonts w:ascii="Times New Roman" w:hAnsi="Times New Roman" w:cs="Times New Roman"/>
        </w:rPr>
        <w:t xml:space="preserve">(ii) </w:t>
      </w:r>
      <w:r w:rsidR="002D4749">
        <w:rPr>
          <w:rFonts w:ascii="Times New Roman" w:hAnsi="Times New Roman" w:cs="Times New Roman"/>
        </w:rPr>
        <w:t>constructed sheds or space within constructed buildings</w:t>
      </w:r>
      <w:r w:rsidRPr="00362B3E">
        <w:rPr>
          <w:rFonts w:ascii="Times New Roman" w:hAnsi="Times New Roman" w:cs="Times New Roman"/>
        </w:rPr>
        <w:t xml:space="preserve"> </w:t>
      </w:r>
      <w:r w:rsidR="00E06AFA">
        <w:rPr>
          <w:rFonts w:ascii="Times New Roman" w:hAnsi="Times New Roman" w:cs="Times New Roman"/>
        </w:rPr>
        <w:t xml:space="preserve">therein – </w:t>
      </w:r>
      <w:r w:rsidRPr="00362B3E">
        <w:rPr>
          <w:rFonts w:ascii="Times New Roman" w:hAnsi="Times New Roman" w:cs="Times New Roman"/>
        </w:rPr>
        <w:t xml:space="preserve">in </w:t>
      </w:r>
      <w:r w:rsidR="00E06AFA">
        <w:rPr>
          <w:rFonts w:ascii="Times New Roman" w:hAnsi="Times New Roman" w:cs="Times New Roman"/>
        </w:rPr>
        <w:t xml:space="preserve">the State of </w:t>
      </w:r>
      <w:r w:rsidRPr="00362B3E">
        <w:rPr>
          <w:rFonts w:ascii="Times New Roman" w:hAnsi="Times New Roman" w:cs="Times New Roman"/>
        </w:rPr>
        <w:t>Assam for</w:t>
      </w:r>
      <w:r w:rsidR="00E06AFA">
        <w:rPr>
          <w:rFonts w:ascii="Times New Roman" w:hAnsi="Times New Roman" w:cs="Times New Roman"/>
        </w:rPr>
        <w:t xml:space="preserve"> the</w:t>
      </w:r>
      <w:r w:rsidRPr="00362B3E">
        <w:rPr>
          <w:rFonts w:ascii="Times New Roman" w:hAnsi="Times New Roman" w:cs="Times New Roman"/>
        </w:rPr>
        <w:t xml:space="preserve"> setting up of an Industry </w:t>
      </w:r>
      <w:r w:rsidR="00610DB5">
        <w:rPr>
          <w:rFonts w:ascii="Times New Roman" w:hAnsi="Times New Roman" w:cs="Times New Roman"/>
        </w:rPr>
        <w:t>would</w:t>
      </w:r>
      <w:r w:rsidR="007A63AF">
        <w:rPr>
          <w:rFonts w:ascii="Times New Roman" w:hAnsi="Times New Roman" w:cs="Times New Roman"/>
        </w:rPr>
        <w:t>:</w:t>
      </w:r>
      <w:r w:rsidRPr="00362B3E">
        <w:rPr>
          <w:rFonts w:ascii="Times New Roman" w:hAnsi="Times New Roman" w:cs="Times New Roman"/>
        </w:rPr>
        <w:t xml:space="preserve">  </w:t>
      </w:r>
    </w:p>
    <w:p w:rsidR="00610DB5" w:rsidRPr="00610DB5" w:rsidRDefault="00610DB5" w:rsidP="00610DB5">
      <w:pPr>
        <w:pStyle w:val="ListParagraph"/>
        <w:numPr>
          <w:ilvl w:val="0"/>
          <w:numId w:val="5"/>
        </w:numPr>
        <w:spacing w:before="60" w:after="6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10DB5">
        <w:rPr>
          <w:rFonts w:ascii="Times New Roman" w:hAnsi="Times New Roman" w:cs="Times New Roman"/>
        </w:rPr>
        <w:t>ccess</w:t>
      </w:r>
      <w:r w:rsidR="00362B3E" w:rsidRPr="00610DB5">
        <w:rPr>
          <w:rFonts w:ascii="Times New Roman" w:hAnsi="Times New Roman" w:cs="Times New Roman"/>
        </w:rPr>
        <w:t xml:space="preserve"> the </w:t>
      </w:r>
      <w:r w:rsidRPr="00610DB5">
        <w:rPr>
          <w:rFonts w:ascii="Times New Roman" w:hAnsi="Times New Roman" w:cs="Times New Roman"/>
        </w:rPr>
        <w:t>EoDB</w:t>
      </w:r>
      <w:r>
        <w:rPr>
          <w:rFonts w:ascii="Times New Roman" w:hAnsi="Times New Roman" w:cs="Times New Roman"/>
        </w:rPr>
        <w:t xml:space="preserve"> W</w:t>
      </w:r>
      <w:r w:rsidR="00362B3E" w:rsidRPr="00610DB5">
        <w:rPr>
          <w:rFonts w:ascii="Times New Roman" w:hAnsi="Times New Roman" w:cs="Times New Roman"/>
        </w:rPr>
        <w:t>ebsite,</w:t>
      </w:r>
    </w:p>
    <w:p w:rsidR="009D232E" w:rsidRDefault="00610DB5" w:rsidP="00610DB5">
      <w:pPr>
        <w:pStyle w:val="ListParagraph"/>
        <w:numPr>
          <w:ilvl w:val="0"/>
          <w:numId w:val="5"/>
        </w:numPr>
        <w:spacing w:before="60" w:after="6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A</w:t>
      </w:r>
      <w:r w:rsidR="009D232E">
        <w:rPr>
          <w:rFonts w:ascii="Times New Roman" w:hAnsi="Times New Roman" w:cs="Times New Roman"/>
        </w:rPr>
        <w:t>gency concerned,</w:t>
      </w:r>
    </w:p>
    <w:p w:rsidR="009D232E" w:rsidRDefault="009D232E" w:rsidP="00610DB5">
      <w:pPr>
        <w:pStyle w:val="ListParagraph"/>
        <w:numPr>
          <w:ilvl w:val="0"/>
          <w:numId w:val="5"/>
        </w:numPr>
        <w:spacing w:before="60" w:after="6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the </w:t>
      </w:r>
      <w:r w:rsidRPr="00362B3E">
        <w:rPr>
          <w:rFonts w:ascii="Times New Roman" w:hAnsi="Times New Roman" w:cs="Times New Roman"/>
        </w:rPr>
        <w:t>parcels of land</w:t>
      </w:r>
      <w:r>
        <w:rPr>
          <w:rFonts w:ascii="Times New Roman" w:hAnsi="Times New Roman" w:cs="Times New Roman"/>
        </w:rPr>
        <w:t>/ shed/ space within industrial building –</w:t>
      </w:r>
      <w:r w:rsidRPr="00362B3E">
        <w:rPr>
          <w:rFonts w:ascii="Times New Roman" w:hAnsi="Times New Roman" w:cs="Times New Roman"/>
        </w:rPr>
        <w:t xml:space="preserve"> giving preference</w:t>
      </w:r>
      <w:r>
        <w:rPr>
          <w:rFonts w:ascii="Times New Roman" w:hAnsi="Times New Roman" w:cs="Times New Roman"/>
        </w:rPr>
        <w:t>, and</w:t>
      </w:r>
    </w:p>
    <w:p w:rsidR="00362B3E" w:rsidRPr="009D232E" w:rsidRDefault="009D232E" w:rsidP="009D232E">
      <w:pPr>
        <w:pStyle w:val="ListParagraph"/>
        <w:numPr>
          <w:ilvl w:val="0"/>
          <w:numId w:val="5"/>
        </w:numPr>
        <w:spacing w:before="60" w:after="6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Proceed </w:t>
      </w:r>
      <w:r w:rsidRPr="00362B3E">
        <w:rPr>
          <w:rFonts w:ascii="Times New Roman" w:hAnsi="Times New Roman" w:cs="Times New Roman"/>
        </w:rPr>
        <w:t>to the link for applying online in the EoDB website.</w:t>
      </w:r>
      <w:r w:rsidR="00362B3E" w:rsidRPr="00610DB5">
        <w:rPr>
          <w:rFonts w:ascii="Times New Roman" w:hAnsi="Times New Roman" w:cs="Times New Roman"/>
        </w:rPr>
        <w:t xml:space="preserve"> </w:t>
      </w:r>
    </w:p>
    <w:p w:rsidR="00362B3E" w:rsidRPr="00362B3E" w:rsidRDefault="009D232E" w:rsidP="00E06AFA">
      <w:pPr>
        <w:spacing w:after="120" w:line="312" w:lineRule="auto"/>
        <w:ind w:left="1080"/>
        <w:jc w:val="both"/>
        <w:rPr>
          <w:rFonts w:ascii="Times New Roman" w:hAnsi="Times New Roman" w:cs="Times New Roman"/>
        </w:rPr>
      </w:pPr>
      <w:r w:rsidRPr="009D232E">
        <w:rPr>
          <w:rFonts w:ascii="Times New Roman" w:hAnsi="Times New Roman" w:cs="Times New Roman"/>
          <w:b/>
        </w:rPr>
        <w:t>N.B.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362B3E" w:rsidRPr="00362B3E">
        <w:rPr>
          <w:rFonts w:ascii="Times New Roman" w:hAnsi="Times New Roman" w:cs="Times New Roman"/>
        </w:rPr>
        <w:t>EoDB website can be approached from hyperlinks placed in the Industries Department, IDCs, and Investment Cell Websites.</w:t>
      </w:r>
    </w:p>
    <w:p w:rsidR="00362B3E" w:rsidRPr="003666BD" w:rsidRDefault="00362B3E" w:rsidP="00E06AFA">
      <w:pPr>
        <w:pStyle w:val="ListParagraph"/>
        <w:numPr>
          <w:ilvl w:val="0"/>
          <w:numId w:val="1"/>
        </w:numPr>
        <w:spacing w:line="312" w:lineRule="auto"/>
        <w:contextualSpacing w:val="0"/>
        <w:jc w:val="both"/>
        <w:rPr>
          <w:rFonts w:ascii="Times New Roman" w:hAnsi="Times New Roman" w:cs="Times New Roman"/>
        </w:rPr>
      </w:pPr>
      <w:r w:rsidRPr="003666BD">
        <w:rPr>
          <w:rFonts w:ascii="Times New Roman" w:hAnsi="Times New Roman" w:cs="Times New Roman"/>
        </w:rPr>
        <w:t>The application form can be submitted online through EoDB portal (</w:t>
      </w:r>
      <w:hyperlink r:id="rId8" w:history="1">
        <w:r w:rsidRPr="003666BD">
          <w:rPr>
            <w:rStyle w:val="Hyperlink"/>
            <w:rFonts w:ascii="Times New Roman" w:hAnsi="Times New Roman" w:cs="Times New Roman"/>
          </w:rPr>
          <w:t>https://easeofdoingbusinessinassam.in/</w:t>
        </w:r>
      </w:hyperlink>
      <w:r w:rsidRPr="003666BD">
        <w:rPr>
          <w:rFonts w:ascii="Times New Roman" w:hAnsi="Times New Roman" w:cs="Times New Roman"/>
        </w:rPr>
        <w:t>)</w:t>
      </w:r>
    </w:p>
    <w:p w:rsidR="009D232E" w:rsidRDefault="009D232E" w:rsidP="009D232E">
      <w:pPr>
        <w:pStyle w:val="ListParagraph"/>
        <w:numPr>
          <w:ilvl w:val="0"/>
          <w:numId w:val="1"/>
        </w:numPr>
        <w:spacing w:before="240" w:after="12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Information</w:t>
      </w:r>
      <w:r w:rsidRPr="003666BD">
        <w:rPr>
          <w:rFonts w:ascii="Times New Roman" w:hAnsi="Times New Roman" w:cs="Times New Roman"/>
        </w:rPr>
        <w:t xml:space="preserve"> to be </w:t>
      </w:r>
      <w:r>
        <w:rPr>
          <w:rFonts w:ascii="Times New Roman" w:hAnsi="Times New Roman" w:cs="Times New Roman"/>
        </w:rPr>
        <w:t>entered</w:t>
      </w:r>
      <w:r w:rsidRPr="00366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Pr="003666BD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online </w:t>
      </w:r>
      <w:r w:rsidRPr="003666BD">
        <w:rPr>
          <w:rFonts w:ascii="Times New Roman" w:hAnsi="Times New Roman" w:cs="Times New Roman"/>
        </w:rPr>
        <w:t>application</w:t>
      </w:r>
      <w:r>
        <w:rPr>
          <w:rFonts w:ascii="Times New Roman" w:hAnsi="Times New Roman" w:cs="Times New Roman"/>
        </w:rPr>
        <w:t xml:space="preserve"> form</w:t>
      </w:r>
      <w:r w:rsidRPr="003666BD">
        <w:rPr>
          <w:rFonts w:ascii="Times New Roman" w:hAnsi="Times New Roman" w:cs="Times New Roman"/>
        </w:rPr>
        <w:t>:</w:t>
      </w:r>
    </w:p>
    <w:p w:rsidR="00E47F2D" w:rsidRPr="008A380A" w:rsidRDefault="00E47F2D" w:rsidP="00E47F2D">
      <w:pPr>
        <w:pStyle w:val="ListParagraph"/>
        <w:numPr>
          <w:ilvl w:val="1"/>
          <w:numId w:val="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8A380A">
        <w:rPr>
          <w:rFonts w:ascii="Times New Roman" w:hAnsi="Times New Roman" w:cs="Times New Roman"/>
        </w:rPr>
        <w:t xml:space="preserve">Company </w:t>
      </w:r>
      <w:r>
        <w:rPr>
          <w:rFonts w:ascii="Times New Roman" w:hAnsi="Times New Roman" w:cs="Times New Roman"/>
        </w:rPr>
        <w:t>P</w:t>
      </w:r>
      <w:r w:rsidRPr="008A380A">
        <w:rPr>
          <w:rFonts w:ascii="Times New Roman" w:hAnsi="Times New Roman" w:cs="Times New Roman"/>
        </w:rPr>
        <w:t xml:space="preserve">rofile and </w:t>
      </w:r>
      <w:r>
        <w:rPr>
          <w:rFonts w:ascii="Times New Roman" w:hAnsi="Times New Roman" w:cs="Times New Roman"/>
        </w:rPr>
        <w:t>D</w:t>
      </w:r>
      <w:r w:rsidRPr="008A380A">
        <w:rPr>
          <w:rFonts w:ascii="Times New Roman" w:hAnsi="Times New Roman" w:cs="Times New Roman"/>
        </w:rPr>
        <w:t xml:space="preserve">etails of the </w:t>
      </w:r>
      <w:r>
        <w:rPr>
          <w:rFonts w:ascii="Times New Roman" w:hAnsi="Times New Roman" w:cs="Times New Roman"/>
        </w:rPr>
        <w:t>P</w:t>
      </w:r>
      <w:r w:rsidRPr="008A380A">
        <w:rPr>
          <w:rFonts w:ascii="Times New Roman" w:hAnsi="Times New Roman" w:cs="Times New Roman"/>
        </w:rPr>
        <w:t>romoters</w:t>
      </w:r>
    </w:p>
    <w:p w:rsidR="009D232E" w:rsidRPr="008A380A" w:rsidRDefault="009D232E" w:rsidP="009D232E">
      <w:pPr>
        <w:pStyle w:val="ListParagraph"/>
        <w:numPr>
          <w:ilvl w:val="1"/>
          <w:numId w:val="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Entrepreneur Memorandum</w:t>
      </w:r>
      <w:r w:rsidR="00E47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(EM-1/</w:t>
      </w:r>
      <w:r w:rsidR="00E47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EM-II/</w:t>
      </w:r>
      <w:r w:rsidR="00E47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IEM)</w:t>
      </w:r>
      <w:r w:rsidR="00E47F2D">
        <w:rPr>
          <w:rFonts w:ascii="Times New Roman" w:hAnsi="Times New Roman" w:cs="Times New Roman"/>
        </w:rPr>
        <w:t xml:space="preserve"> –</w:t>
      </w:r>
      <w:r w:rsidRPr="00037D70">
        <w:rPr>
          <w:rFonts w:ascii="Times New Roman" w:hAnsi="Times New Roman" w:cs="Times New Roman"/>
        </w:rPr>
        <w:t xml:space="preserve"> as applicable</w:t>
      </w:r>
    </w:p>
    <w:p w:rsidR="009D232E" w:rsidRDefault="009D232E" w:rsidP="009D232E">
      <w:pPr>
        <w:pStyle w:val="ListParagraph"/>
        <w:numPr>
          <w:ilvl w:val="1"/>
          <w:numId w:val="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037D70">
        <w:rPr>
          <w:rFonts w:ascii="Times New Roman" w:hAnsi="Times New Roman" w:cs="Times New Roman"/>
        </w:rPr>
        <w:t>Photo ID and Address Proof of the Applicant</w:t>
      </w:r>
    </w:p>
    <w:p w:rsidR="00E47F2D" w:rsidRDefault="00E47F2D" w:rsidP="009D232E">
      <w:pPr>
        <w:pStyle w:val="ListParagraph"/>
        <w:numPr>
          <w:ilvl w:val="1"/>
          <w:numId w:val="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Card and ADHAR Card Details of the Applicant</w:t>
      </w:r>
    </w:p>
    <w:p w:rsidR="004A7401" w:rsidRPr="009D232E" w:rsidRDefault="004A7401" w:rsidP="009D232E">
      <w:pPr>
        <w:pStyle w:val="ListParagraph"/>
        <w:numPr>
          <w:ilvl w:val="1"/>
          <w:numId w:val="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Mortgage of Lease-Hold Rights is sought for raising Capital from Bank/ Financial Institution.</w:t>
      </w:r>
    </w:p>
    <w:p w:rsidR="00AA67B8" w:rsidRPr="003666BD" w:rsidRDefault="00037D70" w:rsidP="009D232E">
      <w:pPr>
        <w:pStyle w:val="ListParagraph"/>
        <w:numPr>
          <w:ilvl w:val="0"/>
          <w:numId w:val="1"/>
        </w:numPr>
        <w:spacing w:before="240" w:after="12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AA67B8" w:rsidRPr="00B72E83">
        <w:rPr>
          <w:rFonts w:ascii="Times New Roman" w:hAnsi="Times New Roman" w:cs="Times New Roman"/>
          <w:b/>
        </w:rPr>
        <w:t>ocuments</w:t>
      </w:r>
      <w:r w:rsidR="00AA67B8" w:rsidRPr="003666BD">
        <w:rPr>
          <w:rFonts w:ascii="Times New Roman" w:hAnsi="Times New Roman" w:cs="Times New Roman"/>
        </w:rPr>
        <w:t xml:space="preserve"> to be </w:t>
      </w:r>
      <w:r w:rsidR="009D232E">
        <w:rPr>
          <w:rFonts w:ascii="Times New Roman" w:hAnsi="Times New Roman" w:cs="Times New Roman"/>
        </w:rPr>
        <w:t>uploaded</w:t>
      </w:r>
      <w:r w:rsidR="00AA67B8" w:rsidRPr="003666BD">
        <w:rPr>
          <w:rFonts w:ascii="Times New Roman" w:hAnsi="Times New Roman" w:cs="Times New Roman"/>
        </w:rPr>
        <w:t xml:space="preserve"> along with the application:</w:t>
      </w:r>
    </w:p>
    <w:p w:rsidR="0057114F" w:rsidRDefault="0057114F" w:rsidP="009D232E">
      <w:pPr>
        <w:pStyle w:val="ListParagraph"/>
        <w:numPr>
          <w:ilvl w:val="1"/>
          <w:numId w:val="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8A380A">
        <w:rPr>
          <w:rFonts w:ascii="Times New Roman" w:hAnsi="Times New Roman" w:cs="Times New Roman"/>
        </w:rPr>
        <w:t>Techno-</w:t>
      </w:r>
      <w:r w:rsidR="009D232E">
        <w:rPr>
          <w:rFonts w:ascii="Times New Roman" w:hAnsi="Times New Roman" w:cs="Times New Roman"/>
        </w:rPr>
        <w:t>E</w:t>
      </w:r>
      <w:r w:rsidRPr="008A380A">
        <w:rPr>
          <w:rFonts w:ascii="Times New Roman" w:hAnsi="Times New Roman" w:cs="Times New Roman"/>
        </w:rPr>
        <w:t xml:space="preserve">conomic </w:t>
      </w:r>
      <w:r w:rsidR="009D232E">
        <w:rPr>
          <w:rFonts w:ascii="Times New Roman" w:hAnsi="Times New Roman" w:cs="Times New Roman"/>
        </w:rPr>
        <w:t>F</w:t>
      </w:r>
      <w:r w:rsidRPr="008A380A">
        <w:rPr>
          <w:rFonts w:ascii="Times New Roman" w:hAnsi="Times New Roman" w:cs="Times New Roman"/>
        </w:rPr>
        <w:t xml:space="preserve">easibility </w:t>
      </w:r>
      <w:r w:rsidR="009D232E">
        <w:rPr>
          <w:rFonts w:ascii="Times New Roman" w:hAnsi="Times New Roman" w:cs="Times New Roman"/>
        </w:rPr>
        <w:t>Report</w:t>
      </w:r>
      <w:r w:rsidR="005A2FBD">
        <w:rPr>
          <w:rFonts w:ascii="Times New Roman" w:hAnsi="Times New Roman" w:cs="Times New Roman"/>
        </w:rPr>
        <w:t>/ Project Profile</w:t>
      </w:r>
    </w:p>
    <w:p w:rsidR="00E47F2D" w:rsidRPr="008A380A" w:rsidRDefault="00E47F2D" w:rsidP="009D232E">
      <w:pPr>
        <w:pStyle w:val="ListParagraph"/>
        <w:numPr>
          <w:ilvl w:val="1"/>
          <w:numId w:val="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Appraisal by Bank/ Financial Institution </w:t>
      </w:r>
      <w:r w:rsidR="00177B80">
        <w:rPr>
          <w:rFonts w:ascii="Times New Roman" w:hAnsi="Times New Roman" w:cs="Times New Roman"/>
        </w:rPr>
        <w:t xml:space="preserve">for availing financial assistance. </w:t>
      </w:r>
    </w:p>
    <w:p w:rsidR="00AA67B8" w:rsidRDefault="00AA67B8" w:rsidP="009D232E">
      <w:pPr>
        <w:pStyle w:val="ListParagraph"/>
        <w:numPr>
          <w:ilvl w:val="1"/>
          <w:numId w:val="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8A380A">
        <w:rPr>
          <w:rFonts w:ascii="Times New Roman" w:hAnsi="Times New Roman" w:cs="Times New Roman"/>
        </w:rPr>
        <w:t xml:space="preserve">Plant </w:t>
      </w:r>
      <w:r w:rsidR="009D232E">
        <w:rPr>
          <w:rFonts w:ascii="Times New Roman" w:hAnsi="Times New Roman" w:cs="Times New Roman"/>
        </w:rPr>
        <w:t>L</w:t>
      </w:r>
      <w:r w:rsidRPr="008A380A">
        <w:rPr>
          <w:rFonts w:ascii="Times New Roman" w:hAnsi="Times New Roman" w:cs="Times New Roman"/>
        </w:rPr>
        <w:t xml:space="preserve">ayout </w:t>
      </w:r>
      <w:r w:rsidR="00E47F2D">
        <w:rPr>
          <w:rFonts w:ascii="Times New Roman" w:hAnsi="Times New Roman" w:cs="Times New Roman"/>
        </w:rPr>
        <w:t xml:space="preserve">– </w:t>
      </w:r>
      <w:r w:rsidRPr="008A380A">
        <w:rPr>
          <w:rFonts w:ascii="Times New Roman" w:hAnsi="Times New Roman" w:cs="Times New Roman"/>
        </w:rPr>
        <w:t>indicating the area for installation of machinery, space for raw material/</w:t>
      </w:r>
      <w:r w:rsidR="00E47F2D">
        <w:rPr>
          <w:rFonts w:ascii="Times New Roman" w:hAnsi="Times New Roman" w:cs="Times New Roman"/>
        </w:rPr>
        <w:t xml:space="preserve"> </w:t>
      </w:r>
      <w:r w:rsidRPr="008A380A">
        <w:rPr>
          <w:rFonts w:ascii="Times New Roman" w:hAnsi="Times New Roman" w:cs="Times New Roman"/>
        </w:rPr>
        <w:t>finished products, generator set, utility services, etc. </w:t>
      </w:r>
    </w:p>
    <w:p w:rsidR="00AA67B8" w:rsidRDefault="00AA67B8" w:rsidP="009D232E">
      <w:pPr>
        <w:pStyle w:val="ListParagraph"/>
        <w:numPr>
          <w:ilvl w:val="1"/>
          <w:numId w:val="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8A380A">
        <w:rPr>
          <w:rFonts w:ascii="Times New Roman" w:hAnsi="Times New Roman" w:cs="Times New Roman"/>
        </w:rPr>
        <w:t xml:space="preserve">Last </w:t>
      </w:r>
      <w:r w:rsidR="00E47F2D">
        <w:rPr>
          <w:rFonts w:ascii="Times New Roman" w:hAnsi="Times New Roman" w:cs="Times New Roman"/>
        </w:rPr>
        <w:t>3 (Three) Y</w:t>
      </w:r>
      <w:r w:rsidRPr="008A380A">
        <w:rPr>
          <w:rFonts w:ascii="Times New Roman" w:hAnsi="Times New Roman" w:cs="Times New Roman"/>
        </w:rPr>
        <w:t xml:space="preserve">ears </w:t>
      </w:r>
      <w:r w:rsidR="00E47F2D">
        <w:rPr>
          <w:rFonts w:ascii="Times New Roman" w:hAnsi="Times New Roman" w:cs="Times New Roman"/>
        </w:rPr>
        <w:t>B</w:t>
      </w:r>
      <w:r w:rsidRPr="008A380A">
        <w:rPr>
          <w:rFonts w:ascii="Times New Roman" w:hAnsi="Times New Roman" w:cs="Times New Roman"/>
        </w:rPr>
        <w:t xml:space="preserve">alance </w:t>
      </w:r>
      <w:r w:rsidR="00E47F2D">
        <w:rPr>
          <w:rFonts w:ascii="Times New Roman" w:hAnsi="Times New Roman" w:cs="Times New Roman"/>
        </w:rPr>
        <w:t>S</w:t>
      </w:r>
      <w:r w:rsidRPr="008A380A">
        <w:rPr>
          <w:rFonts w:ascii="Times New Roman" w:hAnsi="Times New Roman" w:cs="Times New Roman"/>
        </w:rPr>
        <w:t xml:space="preserve">heets of the </w:t>
      </w:r>
      <w:r w:rsidR="00E47F2D">
        <w:rPr>
          <w:rFonts w:ascii="Times New Roman" w:hAnsi="Times New Roman" w:cs="Times New Roman"/>
        </w:rPr>
        <w:t>E</w:t>
      </w:r>
      <w:r w:rsidRPr="008A380A">
        <w:rPr>
          <w:rFonts w:ascii="Times New Roman" w:hAnsi="Times New Roman" w:cs="Times New Roman"/>
        </w:rPr>
        <w:t>nterprise</w:t>
      </w:r>
      <w:r w:rsidR="00E47F2D">
        <w:rPr>
          <w:rFonts w:ascii="Times New Roman" w:hAnsi="Times New Roman" w:cs="Times New Roman"/>
        </w:rPr>
        <w:t xml:space="preserve"> (</w:t>
      </w:r>
      <w:r w:rsidRPr="008A380A">
        <w:rPr>
          <w:rFonts w:ascii="Times New Roman" w:hAnsi="Times New Roman" w:cs="Times New Roman"/>
        </w:rPr>
        <w:t>in case of existing unit</w:t>
      </w:r>
      <w:r w:rsidR="00E47F2D">
        <w:rPr>
          <w:rFonts w:ascii="Times New Roman" w:hAnsi="Times New Roman" w:cs="Times New Roman"/>
        </w:rPr>
        <w:t>)</w:t>
      </w:r>
      <w:r w:rsidRPr="008A380A">
        <w:rPr>
          <w:rFonts w:ascii="Times New Roman" w:hAnsi="Times New Roman" w:cs="Times New Roman"/>
        </w:rPr>
        <w:t> </w:t>
      </w:r>
    </w:p>
    <w:p w:rsidR="00037D70" w:rsidRPr="004A7401" w:rsidRDefault="009F6C94" w:rsidP="004A7401">
      <w:pPr>
        <w:pStyle w:val="ListParagraph"/>
        <w:numPr>
          <w:ilvl w:val="1"/>
          <w:numId w:val="1"/>
        </w:numPr>
        <w:spacing w:before="120" w:after="120" w:line="312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 w:rsidRPr="008A380A">
        <w:rPr>
          <w:rFonts w:ascii="Times New Roman" w:hAnsi="Times New Roman" w:cs="Times New Roman"/>
        </w:rPr>
        <w:t xml:space="preserve">Solvency Certificate from </w:t>
      </w:r>
      <w:r w:rsidR="00E47F2D">
        <w:rPr>
          <w:rFonts w:ascii="Times New Roman" w:hAnsi="Times New Roman" w:cs="Times New Roman"/>
        </w:rPr>
        <w:t>B</w:t>
      </w:r>
      <w:r w:rsidRPr="008A380A">
        <w:rPr>
          <w:rFonts w:ascii="Times New Roman" w:hAnsi="Times New Roman" w:cs="Times New Roman"/>
        </w:rPr>
        <w:t>ank</w:t>
      </w:r>
      <w:r w:rsidR="00E47F2D">
        <w:rPr>
          <w:rFonts w:ascii="Times New Roman" w:hAnsi="Times New Roman" w:cs="Times New Roman"/>
        </w:rPr>
        <w:t>/ Financial Institution (in case of a new unit)</w:t>
      </w:r>
      <w:r w:rsidRPr="003666BD">
        <w:rPr>
          <w:rFonts w:ascii="Times New Roman" w:eastAsia="Times New Roman" w:hAnsi="Times New Roman" w:cs="Times New Roman"/>
          <w:lang w:eastAsia="en-IN"/>
        </w:rPr>
        <w:t>.</w:t>
      </w:r>
    </w:p>
    <w:p w:rsidR="003449FB" w:rsidRPr="003666BD" w:rsidRDefault="004A7401" w:rsidP="009D232E">
      <w:pPr>
        <w:pStyle w:val="ListParagraph"/>
        <w:numPr>
          <w:ilvl w:val="0"/>
          <w:numId w:val="1"/>
        </w:numPr>
        <w:spacing w:before="240"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  <w:b/>
        </w:rPr>
        <w:t>R</w:t>
      </w:r>
      <w:r w:rsidR="003449FB" w:rsidRPr="004A7401">
        <w:rPr>
          <w:rFonts w:ascii="Times New Roman" w:hAnsi="Times New Roman" w:cs="Times New Roman"/>
          <w:b/>
        </w:rPr>
        <w:t xml:space="preserve">equisite </w:t>
      </w:r>
      <w:r w:rsidRPr="004A7401">
        <w:rPr>
          <w:rFonts w:ascii="Times New Roman" w:hAnsi="Times New Roman" w:cs="Times New Roman"/>
          <w:b/>
        </w:rPr>
        <w:t>F</w:t>
      </w:r>
      <w:r w:rsidR="003449FB" w:rsidRPr="004A7401">
        <w:rPr>
          <w:rFonts w:ascii="Times New Roman" w:hAnsi="Times New Roman" w:cs="Times New Roman"/>
          <w:b/>
        </w:rPr>
        <w:t>ees</w:t>
      </w:r>
      <w:r w:rsidR="00782B36">
        <w:rPr>
          <w:rFonts w:ascii="Times New Roman" w:hAnsi="Times New Roman" w:cs="Times New Roman"/>
        </w:rPr>
        <w:t xml:space="preserve"> need</w:t>
      </w:r>
      <w:r>
        <w:rPr>
          <w:rFonts w:ascii="Times New Roman" w:hAnsi="Times New Roman" w:cs="Times New Roman"/>
        </w:rPr>
        <w:t>ed</w:t>
      </w:r>
      <w:r w:rsidR="005E5DA3">
        <w:rPr>
          <w:rFonts w:ascii="Times New Roman" w:hAnsi="Times New Roman" w:cs="Times New Roman"/>
        </w:rPr>
        <w:t xml:space="preserve"> to be paid</w:t>
      </w:r>
      <w:r>
        <w:rPr>
          <w:rFonts w:ascii="Times New Roman" w:hAnsi="Times New Roman" w:cs="Times New Roman"/>
        </w:rPr>
        <w:t xml:space="preserve"> online:</w:t>
      </w:r>
    </w:p>
    <w:p w:rsidR="004A7401" w:rsidRDefault="0007027A" w:rsidP="009D232E">
      <w:pPr>
        <w:pStyle w:val="ListParagraph"/>
        <w:numPr>
          <w:ilvl w:val="1"/>
          <w:numId w:val="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3666BD">
        <w:rPr>
          <w:rFonts w:ascii="Times New Roman" w:hAnsi="Times New Roman" w:cs="Times New Roman"/>
        </w:rPr>
        <w:t xml:space="preserve">Processing </w:t>
      </w:r>
      <w:r w:rsidR="004A7401">
        <w:rPr>
          <w:rFonts w:ascii="Times New Roman" w:hAnsi="Times New Roman" w:cs="Times New Roman"/>
        </w:rPr>
        <w:t>F</w:t>
      </w:r>
      <w:r w:rsidRPr="003666BD">
        <w:rPr>
          <w:rFonts w:ascii="Times New Roman" w:hAnsi="Times New Roman" w:cs="Times New Roman"/>
        </w:rPr>
        <w:t>ee</w:t>
      </w:r>
      <w:r w:rsidR="004A7401">
        <w:rPr>
          <w:rFonts w:ascii="Times New Roman" w:hAnsi="Times New Roman" w:cs="Times New Roman"/>
        </w:rPr>
        <w:t xml:space="preserve"> of 1% of the Total Value of the Land;</w:t>
      </w:r>
    </w:p>
    <w:p w:rsidR="009001C1" w:rsidRPr="009001C1" w:rsidRDefault="009E5004" w:rsidP="009001C1">
      <w:pPr>
        <w:pStyle w:val="ListParagraph"/>
        <w:numPr>
          <w:ilvl w:val="1"/>
          <w:numId w:val="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3666BD">
        <w:rPr>
          <w:rFonts w:ascii="Times New Roman" w:hAnsi="Times New Roman" w:cs="Times New Roman"/>
        </w:rPr>
        <w:t xml:space="preserve">Security </w:t>
      </w:r>
      <w:r w:rsidR="00A4558F">
        <w:rPr>
          <w:rFonts w:ascii="Times New Roman" w:hAnsi="Times New Roman" w:cs="Times New Roman"/>
        </w:rPr>
        <w:t>D</w:t>
      </w:r>
      <w:r w:rsidRPr="003666BD">
        <w:rPr>
          <w:rFonts w:ascii="Times New Roman" w:hAnsi="Times New Roman" w:cs="Times New Roman"/>
        </w:rPr>
        <w:t>eposit</w:t>
      </w:r>
      <w:r w:rsidR="00A4558F">
        <w:rPr>
          <w:rFonts w:ascii="Times New Roman" w:hAnsi="Times New Roman" w:cs="Times New Roman"/>
        </w:rPr>
        <w:t xml:space="preserve"> of</w:t>
      </w:r>
      <w:r w:rsidR="0007027A" w:rsidRPr="003666BD">
        <w:rPr>
          <w:rFonts w:ascii="Times New Roman" w:hAnsi="Times New Roman" w:cs="Times New Roman"/>
        </w:rPr>
        <w:t xml:space="preserve"> </w:t>
      </w:r>
      <w:r w:rsidR="004C6BCA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3946" cy="108829"/>
            <wp:effectExtent l="19050" t="0" r="2254" b="0"/>
            <wp:docPr id="1" name="Picture 0" descr="Indian Rupee (Symbo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 Rupee (Symbol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30" cy="1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27A" w:rsidRPr="003666BD">
        <w:rPr>
          <w:rFonts w:ascii="Times New Roman" w:hAnsi="Times New Roman" w:cs="Times New Roman"/>
        </w:rPr>
        <w:t>5.00 per Sq</w:t>
      </w:r>
      <w:r w:rsidR="00A4558F">
        <w:rPr>
          <w:rFonts w:ascii="Times New Roman" w:hAnsi="Times New Roman" w:cs="Times New Roman"/>
        </w:rPr>
        <w:t>. Metre</w:t>
      </w:r>
      <w:r w:rsidR="005378B4">
        <w:rPr>
          <w:rFonts w:ascii="Times New Roman" w:hAnsi="Times New Roman" w:cs="Times New Roman"/>
        </w:rPr>
        <w:t xml:space="preserve"> to be adjusted with t</w:t>
      </w:r>
      <w:r w:rsidR="00853611">
        <w:rPr>
          <w:rFonts w:ascii="Times New Roman" w:hAnsi="Times New Roman" w:cs="Times New Roman"/>
        </w:rPr>
        <w:t>he rent or development charges.</w:t>
      </w:r>
    </w:p>
    <w:p w:rsidR="009001C1" w:rsidRPr="009001C1" w:rsidRDefault="009001C1" w:rsidP="009001C1">
      <w:pPr>
        <w:pStyle w:val="ListParagraph"/>
        <w:numPr>
          <w:ilvl w:val="1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</w:rPr>
        <w:sectPr w:rsidR="009001C1" w:rsidRPr="009001C1" w:rsidSect="001D100E">
          <w:type w:val="continuous"/>
          <w:pgSz w:w="12240" w:h="20160" w:code="5"/>
          <w:pgMar w:top="1440" w:right="1440" w:bottom="993" w:left="1440" w:header="708" w:footer="708" w:gutter="0"/>
          <w:cols w:space="708"/>
          <w:docGrid w:linePitch="360"/>
        </w:sectPr>
      </w:pPr>
      <w:r w:rsidRPr="009001C1">
        <w:rPr>
          <w:rFonts w:ascii="Times New Roman" w:hAnsi="Times New Roman" w:cs="Times New Roman"/>
        </w:rPr>
        <w:t>10%</w:t>
      </w:r>
      <w:r>
        <w:rPr>
          <w:rFonts w:ascii="Times New Roman" w:hAnsi="Times New Roman" w:cs="Times New Roman"/>
        </w:rPr>
        <w:t xml:space="preserve"> of total Development Charges to be paid with application as advance. </w:t>
      </w:r>
      <w:r>
        <w:rPr>
          <w:rFonts w:ascii="Times New Roman" w:hAnsi="Times New Roman" w:cs="Times New Roman"/>
        </w:rPr>
        <w:tab/>
      </w:r>
    </w:p>
    <w:p w:rsidR="00865DA8" w:rsidRDefault="00865DA8" w:rsidP="00262035">
      <w:pPr>
        <w:pStyle w:val="ListParagraph"/>
        <w:tabs>
          <w:tab w:val="left" w:pos="2160"/>
          <w:tab w:val="left" w:pos="2520"/>
        </w:tabs>
        <w:spacing w:before="120" w:after="120" w:line="312" w:lineRule="auto"/>
        <w:ind w:left="2520" w:hanging="1080"/>
        <w:contextualSpacing w:val="0"/>
        <w:jc w:val="both"/>
        <w:rPr>
          <w:rFonts w:ascii="Times New Roman" w:hAnsi="Times New Roman" w:cs="Times New Roman"/>
          <w:b/>
        </w:rPr>
      </w:pPr>
    </w:p>
    <w:p w:rsidR="00C45194" w:rsidRPr="00C45194" w:rsidRDefault="004C6BCA" w:rsidP="00262035">
      <w:pPr>
        <w:pStyle w:val="ListParagraph"/>
        <w:tabs>
          <w:tab w:val="left" w:pos="2160"/>
          <w:tab w:val="left" w:pos="2520"/>
        </w:tabs>
        <w:spacing w:before="120" w:after="120" w:line="312" w:lineRule="auto"/>
        <w:ind w:left="2520" w:hanging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N.B.: </w:t>
      </w:r>
      <w:r w:rsidR="00262035">
        <w:rPr>
          <w:rFonts w:ascii="Times New Roman" w:hAnsi="Times New Roman" w:cs="Times New Roman"/>
          <w:b/>
        </w:rPr>
        <w:tab/>
        <w:t>(1)</w:t>
      </w:r>
      <w:r w:rsidR="00262035">
        <w:rPr>
          <w:rFonts w:ascii="Times New Roman" w:hAnsi="Times New Roman" w:cs="Times New Roman"/>
          <w:b/>
        </w:rPr>
        <w:tab/>
      </w:r>
      <w:r w:rsidR="00C45194" w:rsidRPr="00C45194">
        <w:rPr>
          <w:rFonts w:ascii="Times New Roman" w:hAnsi="Times New Roman" w:cs="Times New Roman"/>
        </w:rPr>
        <w:t xml:space="preserve">Processing Fee is not refundable. </w:t>
      </w:r>
    </w:p>
    <w:p w:rsidR="003449FB" w:rsidRPr="004550ED" w:rsidRDefault="00C45194" w:rsidP="00262035">
      <w:pPr>
        <w:pStyle w:val="ListParagraph"/>
        <w:tabs>
          <w:tab w:val="left" w:pos="2160"/>
          <w:tab w:val="left" w:pos="2520"/>
        </w:tabs>
        <w:spacing w:before="120" w:after="120" w:line="312" w:lineRule="auto"/>
        <w:ind w:left="2520" w:hanging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45194">
        <w:rPr>
          <w:rFonts w:ascii="Times New Roman" w:hAnsi="Times New Roman" w:cs="Times New Roman"/>
          <w:b/>
        </w:rPr>
        <w:t>(2)</w:t>
      </w:r>
      <w:r>
        <w:rPr>
          <w:rFonts w:ascii="Times New Roman" w:hAnsi="Times New Roman" w:cs="Times New Roman"/>
        </w:rPr>
        <w:t xml:space="preserve"> </w:t>
      </w:r>
      <w:r w:rsidRPr="004550ED">
        <w:rPr>
          <w:rFonts w:ascii="Times New Roman" w:hAnsi="Times New Roman" w:cs="Times New Roman"/>
        </w:rPr>
        <w:t xml:space="preserve">Security Deposit paid on Renting/ Leasing of land </w:t>
      </w:r>
      <w:r w:rsidR="0066606F" w:rsidRPr="004550ED">
        <w:rPr>
          <w:rFonts w:ascii="Times New Roman" w:hAnsi="Times New Roman" w:cs="Times New Roman"/>
        </w:rPr>
        <w:t>is</w:t>
      </w:r>
      <w:r w:rsidRPr="004550ED">
        <w:rPr>
          <w:rFonts w:ascii="Times New Roman" w:hAnsi="Times New Roman" w:cs="Times New Roman"/>
        </w:rPr>
        <w:t xml:space="preserve"> </w:t>
      </w:r>
      <w:r w:rsidR="004550ED">
        <w:rPr>
          <w:rFonts w:ascii="Times New Roman" w:hAnsi="Times New Roman" w:cs="Times New Roman"/>
        </w:rPr>
        <w:t xml:space="preserve">not </w:t>
      </w:r>
      <w:r w:rsidRPr="004550ED">
        <w:rPr>
          <w:rFonts w:ascii="Times New Roman" w:hAnsi="Times New Roman" w:cs="Times New Roman"/>
        </w:rPr>
        <w:t xml:space="preserve">interest bearing </w:t>
      </w:r>
      <w:r w:rsidR="0066606F" w:rsidRPr="004550ED">
        <w:rPr>
          <w:rFonts w:ascii="Times New Roman" w:hAnsi="Times New Roman" w:cs="Times New Roman"/>
        </w:rPr>
        <w:t>and</w:t>
      </w:r>
      <w:r w:rsidRPr="004550ED">
        <w:rPr>
          <w:rFonts w:ascii="Times New Roman" w:hAnsi="Times New Roman" w:cs="Times New Roman"/>
        </w:rPr>
        <w:t xml:space="preserve"> adjustable or refundable only if it fulfils criteria after allotment of land. </w:t>
      </w:r>
    </w:p>
    <w:p w:rsidR="00262035" w:rsidRDefault="00C45194" w:rsidP="00262035">
      <w:pPr>
        <w:pStyle w:val="ListParagraph"/>
        <w:tabs>
          <w:tab w:val="left" w:pos="2520"/>
        </w:tabs>
        <w:spacing w:before="120" w:after="120" w:line="312" w:lineRule="auto"/>
        <w:ind w:left="2520" w:hanging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(3</w:t>
      </w:r>
      <w:r w:rsidR="00262035">
        <w:rPr>
          <w:rFonts w:ascii="Times New Roman" w:hAnsi="Times New Roman" w:cs="Times New Roman"/>
          <w:b/>
        </w:rPr>
        <w:t>)</w:t>
      </w:r>
      <w:r w:rsidR="00262035">
        <w:rPr>
          <w:rFonts w:ascii="Times New Roman" w:hAnsi="Times New Roman" w:cs="Times New Roman"/>
          <w:b/>
        </w:rPr>
        <w:tab/>
      </w:r>
      <w:r w:rsidR="00262035">
        <w:rPr>
          <w:rFonts w:ascii="Times New Roman" w:hAnsi="Times New Roman" w:cs="Times New Roman"/>
        </w:rPr>
        <w:t>Start-Ups</w:t>
      </w:r>
      <w:r w:rsidR="00D602B4">
        <w:rPr>
          <w:rFonts w:ascii="Times New Roman" w:hAnsi="Times New Roman" w:cs="Times New Roman"/>
        </w:rPr>
        <w:t>,</w:t>
      </w:r>
      <w:r w:rsidR="00262035">
        <w:rPr>
          <w:rFonts w:ascii="Times New Roman" w:hAnsi="Times New Roman" w:cs="Times New Roman"/>
        </w:rPr>
        <w:t xml:space="preserve"> as</w:t>
      </w:r>
      <w:r w:rsidR="00D602B4">
        <w:rPr>
          <w:rFonts w:ascii="Times New Roman" w:hAnsi="Times New Roman" w:cs="Times New Roman"/>
        </w:rPr>
        <w:t xml:space="preserve"> defined in the Assam Start-Up Policy 2017, registered on MASI shall be exempted from paying any Processing Fee or Advance of Development Charges. </w:t>
      </w:r>
    </w:p>
    <w:p w:rsidR="00C45194" w:rsidRPr="00C45194" w:rsidRDefault="00C45194" w:rsidP="00262035">
      <w:pPr>
        <w:pStyle w:val="ListParagraph"/>
        <w:tabs>
          <w:tab w:val="left" w:pos="2520"/>
        </w:tabs>
        <w:spacing w:before="120" w:after="120" w:line="312" w:lineRule="auto"/>
        <w:ind w:left="2520" w:hanging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(4) </w:t>
      </w:r>
      <w:r w:rsidRPr="00E4308D">
        <w:rPr>
          <w:rFonts w:ascii="Times New Roman" w:hAnsi="Times New Roman" w:cs="Times New Roman"/>
        </w:rPr>
        <w:t xml:space="preserve">The advance on </w:t>
      </w:r>
      <w:r w:rsidR="0066606F" w:rsidRPr="00E4308D">
        <w:rPr>
          <w:rFonts w:ascii="Times New Roman" w:hAnsi="Times New Roman" w:cs="Times New Roman"/>
        </w:rPr>
        <w:t>Development</w:t>
      </w:r>
      <w:r w:rsidRPr="00E4308D">
        <w:rPr>
          <w:rFonts w:ascii="Times New Roman" w:hAnsi="Times New Roman" w:cs="Times New Roman"/>
        </w:rPr>
        <w:t xml:space="preserve"> Charge is not </w:t>
      </w:r>
      <w:r w:rsidR="0066606F" w:rsidRPr="00E4308D">
        <w:rPr>
          <w:rFonts w:ascii="Times New Roman" w:hAnsi="Times New Roman" w:cs="Times New Roman"/>
        </w:rPr>
        <w:t xml:space="preserve">interest bearing &amp; refundable if not allotted land. </w:t>
      </w:r>
    </w:p>
    <w:p w:rsidR="00362B3E" w:rsidRDefault="00362B3E" w:rsidP="009D232E">
      <w:pPr>
        <w:pStyle w:val="ListParagraph"/>
        <w:numPr>
          <w:ilvl w:val="0"/>
          <w:numId w:val="1"/>
        </w:numPr>
        <w:spacing w:before="240" w:after="12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receipt of application forms, a</w:t>
      </w:r>
      <w:r w:rsidR="00D602B4">
        <w:rPr>
          <w:rFonts w:ascii="Times New Roman" w:hAnsi="Times New Roman" w:cs="Times New Roman"/>
        </w:rPr>
        <w:t xml:space="preserve">n </w:t>
      </w:r>
      <w:r w:rsidR="00D602B4">
        <w:rPr>
          <w:rFonts w:ascii="Times New Roman" w:hAnsi="Times New Roman" w:cs="Times New Roman"/>
          <w:b/>
        </w:rPr>
        <w:t>Auto-generated Receipt/ Acknowledgement</w:t>
      </w:r>
      <w:r w:rsidRPr="00B72E83">
        <w:rPr>
          <w:rFonts w:ascii="Times New Roman" w:hAnsi="Times New Roman" w:cs="Times New Roman"/>
          <w:b/>
        </w:rPr>
        <w:t xml:space="preserve"> Letter</w:t>
      </w:r>
      <w:r w:rsidR="00D602B4">
        <w:rPr>
          <w:rFonts w:ascii="Times New Roman" w:hAnsi="Times New Roman" w:cs="Times New Roman"/>
        </w:rPr>
        <w:t xml:space="preserve"> would</w:t>
      </w:r>
      <w:r>
        <w:rPr>
          <w:rFonts w:ascii="Times New Roman" w:hAnsi="Times New Roman" w:cs="Times New Roman"/>
        </w:rPr>
        <w:t xml:space="preserve"> be given</w:t>
      </w:r>
      <w:r w:rsidR="00D602B4">
        <w:rPr>
          <w:rFonts w:ascii="Times New Roman" w:hAnsi="Times New Roman" w:cs="Times New Roman"/>
        </w:rPr>
        <w:t xml:space="preserve"> online to the Applicant.</w:t>
      </w:r>
    </w:p>
    <w:p w:rsidR="00605615" w:rsidRDefault="00AC3A9B" w:rsidP="00AC3A9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Placement before Land Allotment Committee</w:t>
      </w:r>
    </w:p>
    <w:p w:rsidR="00D40840" w:rsidRPr="007644C5" w:rsidRDefault="007644C5" w:rsidP="00AC3A9B">
      <w:pPr>
        <w:pStyle w:val="ListParagraph"/>
        <w:numPr>
          <w:ilvl w:val="0"/>
          <w:numId w:val="12"/>
        </w:numPr>
        <w:spacing w:before="120" w:after="120" w:line="312" w:lineRule="auto"/>
        <w:ind w:left="1080" w:hanging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will be placed in </w:t>
      </w:r>
      <w:r w:rsidR="0066606F">
        <w:rPr>
          <w:rFonts w:ascii="Times New Roman" w:hAnsi="Times New Roman" w:cs="Times New Roman"/>
        </w:rPr>
        <w:t xml:space="preserve">State Level Committee for </w:t>
      </w:r>
      <w:r>
        <w:rPr>
          <w:rFonts w:ascii="Times New Roman" w:hAnsi="Times New Roman" w:cs="Times New Roman"/>
        </w:rPr>
        <w:t>Land Allotment of the Corporation/ PSU</w:t>
      </w:r>
      <w:r w:rsidR="0066606F">
        <w:rPr>
          <w:rFonts w:ascii="Times New Roman" w:hAnsi="Times New Roman" w:cs="Times New Roman"/>
        </w:rPr>
        <w:t xml:space="preserve"> which is headed by Chief Executive of concerned Corporation/ PSU</w:t>
      </w:r>
      <w:r>
        <w:rPr>
          <w:rFonts w:ascii="Times New Roman" w:hAnsi="Times New Roman" w:cs="Times New Roman"/>
        </w:rPr>
        <w:t xml:space="preserve"> i</w:t>
      </w:r>
      <w:r w:rsidRPr="007644C5">
        <w:rPr>
          <w:rFonts w:ascii="Times New Roman" w:hAnsi="Times New Roman" w:cs="Times New Roman"/>
        </w:rPr>
        <w:t>f the area of the land required for allotment is 5 acres or less</w:t>
      </w:r>
    </w:p>
    <w:p w:rsidR="00D40840" w:rsidRPr="003666BD" w:rsidRDefault="00D40840" w:rsidP="00605615">
      <w:pPr>
        <w:pStyle w:val="ListParagraph"/>
        <w:numPr>
          <w:ilvl w:val="1"/>
          <w:numId w:val="1"/>
        </w:numPr>
        <w:spacing w:before="120" w:after="120" w:line="312" w:lineRule="auto"/>
        <w:ind w:left="1083"/>
        <w:contextualSpacing w:val="0"/>
        <w:jc w:val="both"/>
        <w:rPr>
          <w:rFonts w:ascii="Times New Roman" w:hAnsi="Times New Roman" w:cs="Times New Roman"/>
        </w:rPr>
      </w:pPr>
      <w:r w:rsidRPr="003666BD">
        <w:rPr>
          <w:rFonts w:ascii="Times New Roman" w:hAnsi="Times New Roman" w:cs="Times New Roman"/>
        </w:rPr>
        <w:t xml:space="preserve">For allotment of land </w:t>
      </w:r>
      <w:r w:rsidR="00DF63E5">
        <w:rPr>
          <w:rFonts w:ascii="Times New Roman" w:hAnsi="Times New Roman" w:cs="Times New Roman"/>
        </w:rPr>
        <w:t>above</w:t>
      </w:r>
      <w:r w:rsidRPr="003666BD">
        <w:rPr>
          <w:rFonts w:ascii="Times New Roman" w:hAnsi="Times New Roman" w:cs="Times New Roman"/>
        </w:rPr>
        <w:t xml:space="preserve"> </w:t>
      </w:r>
      <w:r w:rsidR="00DF63E5">
        <w:rPr>
          <w:rFonts w:ascii="Times New Roman" w:hAnsi="Times New Roman" w:cs="Times New Roman"/>
        </w:rPr>
        <w:t>5</w:t>
      </w:r>
      <w:r w:rsidRPr="003666BD">
        <w:rPr>
          <w:rFonts w:ascii="Times New Roman" w:hAnsi="Times New Roman" w:cs="Times New Roman"/>
        </w:rPr>
        <w:t xml:space="preserve"> acres, the application </w:t>
      </w:r>
      <w:r w:rsidR="007644C5">
        <w:rPr>
          <w:rFonts w:ascii="Times New Roman" w:hAnsi="Times New Roman" w:cs="Times New Roman"/>
        </w:rPr>
        <w:t xml:space="preserve">will be placed in the </w:t>
      </w:r>
      <w:r w:rsidR="00DF63E5">
        <w:rPr>
          <w:rFonts w:ascii="Times New Roman" w:hAnsi="Times New Roman" w:cs="Times New Roman"/>
        </w:rPr>
        <w:t xml:space="preserve">State-Level </w:t>
      </w:r>
      <w:r w:rsidR="007644C5">
        <w:rPr>
          <w:rFonts w:ascii="Times New Roman" w:hAnsi="Times New Roman" w:cs="Times New Roman"/>
        </w:rPr>
        <w:t xml:space="preserve">Land Allotment </w:t>
      </w:r>
      <w:r w:rsidR="00DF63E5">
        <w:rPr>
          <w:rFonts w:ascii="Times New Roman" w:hAnsi="Times New Roman" w:cs="Times New Roman"/>
        </w:rPr>
        <w:t>C</w:t>
      </w:r>
      <w:r w:rsidRPr="003666BD">
        <w:rPr>
          <w:rFonts w:ascii="Times New Roman" w:hAnsi="Times New Roman" w:cs="Times New Roman"/>
        </w:rPr>
        <w:t>ommittee</w:t>
      </w:r>
      <w:r w:rsidR="00DF63E5">
        <w:rPr>
          <w:rFonts w:ascii="Times New Roman" w:hAnsi="Times New Roman" w:cs="Times New Roman"/>
        </w:rPr>
        <w:t xml:space="preserve">, which is </w:t>
      </w:r>
      <w:r w:rsidR="00DF63E5" w:rsidRPr="003666BD">
        <w:rPr>
          <w:rFonts w:ascii="Times New Roman" w:hAnsi="Times New Roman" w:cs="Times New Roman"/>
        </w:rPr>
        <w:t xml:space="preserve">headed by </w:t>
      </w:r>
      <w:r w:rsidR="00DF63E5">
        <w:rPr>
          <w:rFonts w:ascii="Times New Roman" w:hAnsi="Times New Roman" w:cs="Times New Roman"/>
        </w:rPr>
        <w:t xml:space="preserve">the </w:t>
      </w:r>
      <w:r w:rsidR="00BF2F5A" w:rsidRPr="003666BD">
        <w:rPr>
          <w:rFonts w:ascii="Times New Roman" w:hAnsi="Times New Roman" w:cs="Times New Roman"/>
        </w:rPr>
        <w:t>senior</w:t>
      </w:r>
      <w:r w:rsidR="00DF63E5">
        <w:rPr>
          <w:rFonts w:ascii="Times New Roman" w:hAnsi="Times New Roman" w:cs="Times New Roman"/>
        </w:rPr>
        <w:t>-</w:t>
      </w:r>
      <w:r w:rsidR="00BF2F5A" w:rsidRPr="003666BD">
        <w:rPr>
          <w:rFonts w:ascii="Times New Roman" w:hAnsi="Times New Roman" w:cs="Times New Roman"/>
        </w:rPr>
        <w:t>most</w:t>
      </w:r>
      <w:r w:rsidRPr="003666BD">
        <w:rPr>
          <w:rFonts w:ascii="Times New Roman" w:hAnsi="Times New Roman" w:cs="Times New Roman"/>
        </w:rPr>
        <w:t xml:space="preserve"> Secretary</w:t>
      </w:r>
      <w:r w:rsidR="00DF63E5">
        <w:rPr>
          <w:rFonts w:ascii="Times New Roman" w:hAnsi="Times New Roman" w:cs="Times New Roman"/>
        </w:rPr>
        <w:t xml:space="preserve"> of the</w:t>
      </w:r>
      <w:r w:rsidR="00BF2F5A" w:rsidRPr="003666BD">
        <w:rPr>
          <w:rFonts w:ascii="Times New Roman" w:hAnsi="Times New Roman" w:cs="Times New Roman"/>
        </w:rPr>
        <w:t xml:space="preserve"> Department of</w:t>
      </w:r>
      <w:r w:rsidRPr="003666BD">
        <w:rPr>
          <w:rFonts w:ascii="Times New Roman" w:hAnsi="Times New Roman" w:cs="Times New Roman"/>
        </w:rPr>
        <w:t xml:space="preserve"> Industries a</w:t>
      </w:r>
      <w:r w:rsidR="0009241D" w:rsidRPr="003666BD">
        <w:rPr>
          <w:rFonts w:ascii="Times New Roman" w:hAnsi="Times New Roman" w:cs="Times New Roman"/>
        </w:rPr>
        <w:t>nd Comm</w:t>
      </w:r>
      <w:r w:rsidR="00526075" w:rsidRPr="003666BD">
        <w:rPr>
          <w:rFonts w:ascii="Times New Roman" w:hAnsi="Times New Roman" w:cs="Times New Roman"/>
        </w:rPr>
        <w:t>erce</w:t>
      </w:r>
      <w:r w:rsidRPr="003666BD">
        <w:rPr>
          <w:rFonts w:ascii="Times New Roman" w:hAnsi="Times New Roman" w:cs="Times New Roman"/>
        </w:rPr>
        <w:t>.</w:t>
      </w:r>
    </w:p>
    <w:p w:rsidR="00DC3454" w:rsidRDefault="00DC3454" w:rsidP="00DF63E5">
      <w:pPr>
        <w:pStyle w:val="ListParagraph"/>
        <w:numPr>
          <w:ilvl w:val="0"/>
          <w:numId w:val="1"/>
        </w:numPr>
        <w:spacing w:before="240" w:after="12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the Land Allotment Guidelines, the </w:t>
      </w:r>
      <w:r w:rsidR="007644C5">
        <w:rPr>
          <w:rFonts w:ascii="Times New Roman" w:hAnsi="Times New Roman" w:cs="Times New Roman"/>
        </w:rPr>
        <w:t>Land Allotment</w:t>
      </w:r>
      <w:r>
        <w:rPr>
          <w:rFonts w:ascii="Times New Roman" w:hAnsi="Times New Roman" w:cs="Times New Roman"/>
        </w:rPr>
        <w:t xml:space="preserve"> Committee</w:t>
      </w:r>
      <w:r w:rsidR="007644C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would </w:t>
      </w:r>
      <w:r w:rsidR="007644C5">
        <w:rPr>
          <w:rFonts w:ascii="Times New Roman" w:hAnsi="Times New Roman" w:cs="Times New Roman"/>
        </w:rPr>
        <w:t>approve</w:t>
      </w:r>
      <w:r>
        <w:rPr>
          <w:rFonts w:ascii="Times New Roman" w:hAnsi="Times New Roman" w:cs="Times New Roman"/>
        </w:rPr>
        <w:t xml:space="preserve"> or reject the application for land allotment.</w:t>
      </w:r>
    </w:p>
    <w:p w:rsidR="007644C5" w:rsidRDefault="00DF63E5" w:rsidP="001B474C">
      <w:pPr>
        <w:pStyle w:val="ListParagraph"/>
        <w:numPr>
          <w:ilvl w:val="0"/>
          <w:numId w:val="1"/>
        </w:numPr>
        <w:spacing w:before="240" w:after="240" w:line="312" w:lineRule="auto"/>
        <w:contextualSpacing w:val="0"/>
        <w:jc w:val="both"/>
        <w:rPr>
          <w:rFonts w:ascii="Times New Roman" w:hAnsi="Times New Roman" w:cs="Times New Roman"/>
        </w:rPr>
      </w:pPr>
      <w:r w:rsidRPr="007644C5">
        <w:rPr>
          <w:rFonts w:ascii="Times New Roman" w:hAnsi="Times New Roman" w:cs="Times New Roman"/>
        </w:rPr>
        <w:t xml:space="preserve">If there are multiple claimants of one particular plot, the </w:t>
      </w:r>
      <w:r w:rsidR="007644C5" w:rsidRPr="007644C5">
        <w:rPr>
          <w:rFonts w:ascii="Times New Roman" w:hAnsi="Times New Roman" w:cs="Times New Roman"/>
        </w:rPr>
        <w:t xml:space="preserve">land Allotment </w:t>
      </w:r>
      <w:r w:rsidRPr="007644C5">
        <w:rPr>
          <w:rFonts w:ascii="Times New Roman" w:hAnsi="Times New Roman" w:cs="Times New Roman"/>
        </w:rPr>
        <w:t>Committee</w:t>
      </w:r>
      <w:r w:rsidR="007644C5" w:rsidRPr="007644C5">
        <w:rPr>
          <w:rFonts w:ascii="Times New Roman" w:hAnsi="Times New Roman" w:cs="Times New Roman"/>
        </w:rPr>
        <w:t>s</w:t>
      </w:r>
      <w:r w:rsidRPr="007644C5">
        <w:rPr>
          <w:rFonts w:ascii="Times New Roman" w:hAnsi="Times New Roman" w:cs="Times New Roman"/>
        </w:rPr>
        <w:t xml:space="preserve"> may select any one on the basis of </w:t>
      </w:r>
      <w:r w:rsidR="007644C5" w:rsidRPr="007644C5">
        <w:rPr>
          <w:rFonts w:ascii="Times New Roman" w:hAnsi="Times New Roman" w:cs="Times New Roman"/>
        </w:rPr>
        <w:t xml:space="preserve">most </w:t>
      </w:r>
      <w:r w:rsidRPr="007644C5">
        <w:rPr>
          <w:rFonts w:ascii="Times New Roman" w:hAnsi="Times New Roman" w:cs="Times New Roman"/>
        </w:rPr>
        <w:t>suitability</w:t>
      </w:r>
      <w:r w:rsidR="007644C5">
        <w:rPr>
          <w:rFonts w:ascii="Times New Roman" w:hAnsi="Times New Roman" w:cs="Times New Roman"/>
        </w:rPr>
        <w:t>.</w:t>
      </w:r>
    </w:p>
    <w:p w:rsidR="00DF63E5" w:rsidRPr="007644C5" w:rsidRDefault="001B474C" w:rsidP="001B474C">
      <w:pPr>
        <w:pStyle w:val="ListParagraph"/>
        <w:numPr>
          <w:ilvl w:val="0"/>
          <w:numId w:val="1"/>
        </w:numPr>
        <w:spacing w:before="240" w:after="240" w:line="312" w:lineRule="auto"/>
        <w:contextualSpacing w:val="0"/>
        <w:jc w:val="both"/>
        <w:rPr>
          <w:rFonts w:ascii="Times New Roman" w:hAnsi="Times New Roman" w:cs="Times New Roman"/>
        </w:rPr>
      </w:pPr>
      <w:r w:rsidRPr="007644C5">
        <w:rPr>
          <w:rFonts w:ascii="Garamond" w:hAnsi="Garamond" w:cs="Times New Roman"/>
          <w:b/>
          <w:spacing w:val="20"/>
        </w:rPr>
        <w:t>Auction:</w:t>
      </w:r>
      <w:r w:rsidRPr="007644C5">
        <w:rPr>
          <w:rFonts w:ascii="Times New Roman" w:hAnsi="Times New Roman" w:cs="Times New Roman"/>
        </w:rPr>
        <w:t xml:space="preserve"> S</w:t>
      </w:r>
      <w:r w:rsidR="00DF63E5" w:rsidRPr="007644C5">
        <w:rPr>
          <w:rFonts w:ascii="Times New Roman" w:hAnsi="Times New Roman" w:cs="Times New Roman"/>
        </w:rPr>
        <w:t xml:space="preserve">ome land parcels/ industrial infrastructure </w:t>
      </w:r>
      <w:r w:rsidR="007644C5">
        <w:rPr>
          <w:rFonts w:ascii="Times New Roman" w:hAnsi="Times New Roman" w:cs="Times New Roman"/>
        </w:rPr>
        <w:t>may</w:t>
      </w:r>
      <w:r w:rsidRPr="007644C5">
        <w:rPr>
          <w:rFonts w:ascii="Times New Roman" w:hAnsi="Times New Roman" w:cs="Times New Roman"/>
        </w:rPr>
        <w:t xml:space="preserve"> </w:t>
      </w:r>
      <w:r w:rsidR="00DF63E5" w:rsidRPr="007644C5">
        <w:rPr>
          <w:rFonts w:ascii="Times New Roman" w:hAnsi="Times New Roman" w:cs="Times New Roman"/>
        </w:rPr>
        <w:t xml:space="preserve">be identified beforehand by the </w:t>
      </w:r>
      <w:r w:rsidRPr="007644C5">
        <w:rPr>
          <w:rFonts w:ascii="Times New Roman" w:hAnsi="Times New Roman" w:cs="Times New Roman"/>
        </w:rPr>
        <w:t>Corporation/ PSU/ Agency</w:t>
      </w:r>
      <w:r w:rsidR="00DF63E5" w:rsidRPr="007644C5">
        <w:rPr>
          <w:rFonts w:ascii="Times New Roman" w:hAnsi="Times New Roman" w:cs="Times New Roman"/>
        </w:rPr>
        <w:t xml:space="preserve"> concerned – where the land/ shed/ space allotment shall be made by auction. When these plots/ sheds/ spaces are put up for auction, the minimum threshold value for the auction shall also be decided </w:t>
      </w:r>
      <w:r w:rsidRPr="007644C5">
        <w:rPr>
          <w:rFonts w:ascii="Times New Roman" w:hAnsi="Times New Roman" w:cs="Times New Roman"/>
        </w:rPr>
        <w:t xml:space="preserve">upon </w:t>
      </w:r>
      <w:r w:rsidR="00DF63E5" w:rsidRPr="007644C5">
        <w:rPr>
          <w:rFonts w:ascii="Times New Roman" w:hAnsi="Times New Roman" w:cs="Times New Roman"/>
        </w:rPr>
        <w:t xml:space="preserve">by the </w:t>
      </w:r>
      <w:r w:rsidRPr="007644C5">
        <w:rPr>
          <w:rFonts w:ascii="Times New Roman" w:hAnsi="Times New Roman" w:cs="Times New Roman"/>
        </w:rPr>
        <w:t xml:space="preserve">Corporation/ PSU/ Agency concerned. Only the eligible applicants would be allowed to participate in the auction, the eligibility criteria </w:t>
      </w:r>
      <w:r w:rsidR="007644C5">
        <w:rPr>
          <w:rFonts w:ascii="Times New Roman" w:hAnsi="Times New Roman" w:cs="Times New Roman"/>
        </w:rPr>
        <w:t>will be notified</w:t>
      </w:r>
      <w:r w:rsidRPr="007644C5">
        <w:rPr>
          <w:rFonts w:ascii="Times New Roman" w:hAnsi="Times New Roman" w:cs="Times New Roman"/>
        </w:rPr>
        <w:t xml:space="preserve"> by the Corporation/ PSU/ Agency concerned. The Bid Process would be opened for a limited period</w:t>
      </w:r>
      <w:r w:rsidR="00DC3454" w:rsidRPr="007644C5">
        <w:rPr>
          <w:rFonts w:ascii="Times New Roman" w:hAnsi="Times New Roman" w:cs="Times New Roman"/>
        </w:rPr>
        <w:t>. W</w:t>
      </w:r>
      <w:r w:rsidRPr="007644C5">
        <w:rPr>
          <w:rFonts w:ascii="Times New Roman" w:hAnsi="Times New Roman" w:cs="Times New Roman"/>
        </w:rPr>
        <w:t>ide publicity would be given to ensure maximum participation</w:t>
      </w:r>
      <w:r w:rsidR="00DC3454" w:rsidRPr="007644C5">
        <w:rPr>
          <w:rFonts w:ascii="Times New Roman" w:hAnsi="Times New Roman" w:cs="Times New Roman"/>
        </w:rPr>
        <w:t>, and thereby highest possible bid value.</w:t>
      </w:r>
      <w:r w:rsidR="00DF63E5" w:rsidRPr="007644C5">
        <w:rPr>
          <w:rFonts w:ascii="Times New Roman" w:hAnsi="Times New Roman" w:cs="Times New Roman"/>
        </w:rPr>
        <w:t xml:space="preserve"> </w:t>
      </w:r>
    </w:p>
    <w:p w:rsidR="00DC3454" w:rsidRPr="00DC3454" w:rsidRDefault="00BD26CF" w:rsidP="00DC3454">
      <w:pPr>
        <w:pStyle w:val="ListParagraph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3666BD">
        <w:rPr>
          <w:rFonts w:ascii="Times New Roman" w:hAnsi="Times New Roman" w:cs="Times New Roman"/>
        </w:rPr>
        <w:t xml:space="preserve">Once the approval is accorded by State Level </w:t>
      </w:r>
      <w:r w:rsidR="00DC3454">
        <w:rPr>
          <w:rFonts w:ascii="Times New Roman" w:hAnsi="Times New Roman" w:cs="Times New Roman"/>
        </w:rPr>
        <w:t xml:space="preserve">or Corporation/ PSU/ Agency Level </w:t>
      </w:r>
      <w:r w:rsidR="0066606F">
        <w:rPr>
          <w:rFonts w:ascii="Times New Roman" w:hAnsi="Times New Roman" w:cs="Times New Roman"/>
        </w:rPr>
        <w:t xml:space="preserve">Land Allotment </w:t>
      </w:r>
      <w:r w:rsidR="00335891">
        <w:rPr>
          <w:rFonts w:ascii="Times New Roman" w:hAnsi="Times New Roman" w:cs="Times New Roman"/>
        </w:rPr>
        <w:t>Committee, the respective C</w:t>
      </w:r>
      <w:r w:rsidRPr="003666BD">
        <w:rPr>
          <w:rFonts w:ascii="Times New Roman" w:hAnsi="Times New Roman" w:cs="Times New Roman"/>
        </w:rPr>
        <w:t>orporation</w:t>
      </w:r>
      <w:r w:rsidR="00DC3454">
        <w:rPr>
          <w:rFonts w:ascii="Times New Roman" w:hAnsi="Times New Roman" w:cs="Times New Roman"/>
        </w:rPr>
        <w:t>/ PSU/ agency</w:t>
      </w:r>
      <w:r w:rsidRPr="003666BD">
        <w:rPr>
          <w:rFonts w:ascii="Times New Roman" w:hAnsi="Times New Roman" w:cs="Times New Roman"/>
        </w:rPr>
        <w:t xml:space="preserve"> </w:t>
      </w:r>
      <w:r w:rsidR="00DC3454">
        <w:rPr>
          <w:rFonts w:ascii="Times New Roman" w:hAnsi="Times New Roman" w:cs="Times New Roman"/>
        </w:rPr>
        <w:t>would</w:t>
      </w:r>
      <w:r w:rsidRPr="003666BD">
        <w:rPr>
          <w:rFonts w:ascii="Times New Roman" w:hAnsi="Times New Roman" w:cs="Times New Roman"/>
        </w:rPr>
        <w:t xml:space="preserve"> issue the </w:t>
      </w:r>
      <w:r w:rsidR="00362B3E" w:rsidRPr="00362B3E">
        <w:rPr>
          <w:rFonts w:ascii="Times New Roman" w:hAnsi="Times New Roman" w:cs="Times New Roman"/>
          <w:b/>
        </w:rPr>
        <w:t xml:space="preserve">Letter of </w:t>
      </w:r>
      <w:r w:rsidR="00136452">
        <w:rPr>
          <w:rFonts w:ascii="Times New Roman" w:hAnsi="Times New Roman" w:cs="Times New Roman"/>
          <w:b/>
        </w:rPr>
        <w:t xml:space="preserve">Intimation </w:t>
      </w:r>
      <w:r w:rsidR="00362B3E" w:rsidRPr="00362B3E">
        <w:rPr>
          <w:rFonts w:ascii="Times New Roman" w:hAnsi="Times New Roman" w:cs="Times New Roman"/>
        </w:rPr>
        <w:t>along with</w:t>
      </w:r>
      <w:r w:rsidR="00362B3E" w:rsidRPr="00362B3E">
        <w:rPr>
          <w:rFonts w:ascii="Times New Roman" w:hAnsi="Times New Roman" w:cs="Times New Roman"/>
          <w:b/>
        </w:rPr>
        <w:t xml:space="preserve"> Notices for Payment and Checking of Original Documents.</w:t>
      </w:r>
    </w:p>
    <w:p w:rsidR="00AD66F5" w:rsidRDefault="00DC3454" w:rsidP="00DC3454">
      <w:pPr>
        <w:pStyle w:val="ListParagraph"/>
        <w:spacing w:before="120" w:after="120" w:line="312" w:lineRule="auto"/>
        <w:ind w:firstLine="720"/>
        <w:contextualSpacing w:val="0"/>
        <w:jc w:val="both"/>
        <w:rPr>
          <w:rFonts w:ascii="Times New Roman" w:hAnsi="Times New Roman" w:cs="Times New Roman"/>
        </w:rPr>
      </w:pPr>
      <w:r w:rsidRPr="00DC3454">
        <w:rPr>
          <w:rFonts w:ascii="Times New Roman" w:hAnsi="Times New Roman" w:cs="Times New Roman"/>
        </w:rPr>
        <w:t>In case of rejection or non-selection at any level, the</w:t>
      </w:r>
      <w:r w:rsidRPr="003666BD">
        <w:rPr>
          <w:rFonts w:ascii="Times New Roman" w:hAnsi="Times New Roman" w:cs="Times New Roman"/>
        </w:rPr>
        <w:t xml:space="preserve"> respective corporation</w:t>
      </w:r>
      <w:r>
        <w:rPr>
          <w:rFonts w:ascii="Times New Roman" w:hAnsi="Times New Roman" w:cs="Times New Roman"/>
        </w:rPr>
        <w:t>/ PSU/ agency</w:t>
      </w:r>
      <w:r w:rsidRPr="00366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would</w:t>
      </w:r>
      <w:r w:rsidRPr="003666BD">
        <w:rPr>
          <w:rFonts w:ascii="Times New Roman" w:hAnsi="Times New Roman" w:cs="Times New Roman"/>
        </w:rPr>
        <w:t xml:space="preserve"> issue </w:t>
      </w:r>
      <w:r>
        <w:rPr>
          <w:rFonts w:ascii="Times New Roman" w:hAnsi="Times New Roman" w:cs="Times New Roman"/>
        </w:rPr>
        <w:t>a</w:t>
      </w:r>
      <w:r w:rsidRPr="003666BD">
        <w:rPr>
          <w:rFonts w:ascii="Times New Roman" w:hAnsi="Times New Roman" w:cs="Times New Roman"/>
        </w:rPr>
        <w:t xml:space="preserve"> </w:t>
      </w:r>
      <w:r w:rsidRPr="00362B3E">
        <w:rPr>
          <w:rFonts w:ascii="Times New Roman" w:hAnsi="Times New Roman" w:cs="Times New Roman"/>
          <w:b/>
        </w:rPr>
        <w:t xml:space="preserve">Letter of </w:t>
      </w:r>
      <w:r>
        <w:rPr>
          <w:rFonts w:ascii="Times New Roman" w:hAnsi="Times New Roman" w:cs="Times New Roman"/>
          <w:b/>
        </w:rPr>
        <w:t xml:space="preserve">Intimation </w:t>
      </w:r>
      <w:r>
        <w:rPr>
          <w:rFonts w:ascii="Times New Roman" w:hAnsi="Times New Roman" w:cs="Times New Roman"/>
        </w:rPr>
        <w:t>accordingly</w:t>
      </w:r>
      <w:r w:rsidR="00E815CE">
        <w:rPr>
          <w:rFonts w:ascii="Times New Roman" w:hAnsi="Times New Roman" w:cs="Times New Roman"/>
        </w:rPr>
        <w:t>.</w:t>
      </w:r>
    </w:p>
    <w:p w:rsidR="00DC3454" w:rsidRDefault="00DC3454" w:rsidP="00DC3454">
      <w:pPr>
        <w:pStyle w:val="ListParagraph"/>
        <w:spacing w:before="120" w:after="120" w:line="312" w:lineRule="auto"/>
        <w:ind w:firstLine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letters and notices shall be sent online to the email id entered by the applicant</w:t>
      </w:r>
      <w:r w:rsidR="00B8794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while an sms message shall be sent </w:t>
      </w:r>
      <w:r w:rsidR="00B87947">
        <w:rPr>
          <w:rFonts w:ascii="Times New Roman" w:hAnsi="Times New Roman" w:cs="Times New Roman"/>
        </w:rPr>
        <w:t xml:space="preserve">immediately – intimating about the same – to the mobile number entered by the applicant </w:t>
      </w:r>
      <w:r>
        <w:rPr>
          <w:rFonts w:ascii="Times New Roman" w:hAnsi="Times New Roman" w:cs="Times New Roman"/>
        </w:rPr>
        <w:t>through an sms gateway provider</w:t>
      </w:r>
      <w:r w:rsidR="00B87947">
        <w:rPr>
          <w:rFonts w:ascii="Times New Roman" w:hAnsi="Times New Roman" w:cs="Times New Roman"/>
        </w:rPr>
        <w:t>.</w:t>
      </w:r>
    </w:p>
    <w:p w:rsidR="00DC3454" w:rsidRPr="003666BD" w:rsidRDefault="00B87947" w:rsidP="00DC3454">
      <w:pPr>
        <w:pStyle w:val="ListParagraph"/>
        <w:spacing w:before="120" w:after="240" w:line="312" w:lineRule="auto"/>
        <w:ind w:firstLine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Letter of Allotment/ Intimation of Rejection would be given to the applicant within </w:t>
      </w:r>
      <w:r w:rsidR="007644C5">
        <w:rPr>
          <w:rFonts w:ascii="Times New Roman" w:hAnsi="Times New Roman" w:cs="Times New Roman"/>
        </w:rPr>
        <w:t>two weeks</w:t>
      </w:r>
      <w:r>
        <w:rPr>
          <w:rFonts w:ascii="Times New Roman" w:hAnsi="Times New Roman" w:cs="Times New Roman"/>
        </w:rPr>
        <w:t xml:space="preserve"> from the date of application marked by auto-generation of receipt. </w:t>
      </w:r>
    </w:p>
    <w:p w:rsidR="00AD66F5" w:rsidRPr="003666BD" w:rsidRDefault="00B87947" w:rsidP="00E06AFA">
      <w:pPr>
        <w:pStyle w:val="ListParagraph"/>
        <w:numPr>
          <w:ilvl w:val="0"/>
          <w:numId w:val="1"/>
        </w:numPr>
        <w:spacing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satisfactory checking of original documents, and</w:t>
      </w:r>
      <w:r w:rsidR="00AD66F5" w:rsidRPr="003666BD">
        <w:rPr>
          <w:rFonts w:ascii="Times New Roman" w:hAnsi="Times New Roman" w:cs="Times New Roman"/>
        </w:rPr>
        <w:t xml:space="preserve"> </w:t>
      </w:r>
      <w:r w:rsidR="0048499F">
        <w:rPr>
          <w:rFonts w:ascii="Times New Roman" w:hAnsi="Times New Roman" w:cs="Times New Roman"/>
        </w:rPr>
        <w:t>payment of remaining development fees,</w:t>
      </w:r>
      <w:r w:rsidR="00AD66F5" w:rsidRPr="003666BD">
        <w:rPr>
          <w:rFonts w:ascii="Times New Roman" w:hAnsi="Times New Roman" w:cs="Times New Roman"/>
        </w:rPr>
        <w:t xml:space="preserve"> the </w:t>
      </w:r>
      <w:r w:rsidR="00B72E83">
        <w:rPr>
          <w:rFonts w:ascii="Times New Roman" w:hAnsi="Times New Roman" w:cs="Times New Roman"/>
        </w:rPr>
        <w:t>lease</w:t>
      </w:r>
      <w:r w:rsidR="00AD66F5" w:rsidRPr="003666BD">
        <w:rPr>
          <w:rFonts w:ascii="Times New Roman" w:hAnsi="Times New Roman" w:cs="Times New Roman"/>
        </w:rPr>
        <w:t xml:space="preserve"> agreement deed </w:t>
      </w:r>
      <w:r>
        <w:rPr>
          <w:rFonts w:ascii="Times New Roman" w:hAnsi="Times New Roman" w:cs="Times New Roman"/>
        </w:rPr>
        <w:t>would be</w:t>
      </w:r>
      <w:r w:rsidR="00AD66F5" w:rsidRPr="003666BD">
        <w:rPr>
          <w:rFonts w:ascii="Times New Roman" w:hAnsi="Times New Roman" w:cs="Times New Roman"/>
        </w:rPr>
        <w:t xml:space="preserve"> executed between AIDC</w:t>
      </w:r>
      <w:r w:rsidR="00221866">
        <w:rPr>
          <w:rFonts w:ascii="Times New Roman" w:hAnsi="Times New Roman" w:cs="Times New Roman"/>
        </w:rPr>
        <w:t xml:space="preserve"> [or any other IDC (</w:t>
      </w:r>
      <w:r w:rsidR="00221866">
        <w:rPr>
          <w:rFonts w:ascii="Times New Roman" w:hAnsi="Times New Roman" w:cs="Times New Roman"/>
          <w:i/>
        </w:rPr>
        <w:t xml:space="preserve">i.e. </w:t>
      </w:r>
      <w:r w:rsidR="00221866">
        <w:rPr>
          <w:rFonts w:ascii="Times New Roman" w:hAnsi="Times New Roman" w:cs="Times New Roman"/>
        </w:rPr>
        <w:t>AIIDC/ ASIDC), PSU or Commissionerate of Industries &amp; Commerce]</w:t>
      </w:r>
      <w:r w:rsidR="00AD66F5" w:rsidRPr="003666BD">
        <w:rPr>
          <w:rFonts w:ascii="Times New Roman" w:hAnsi="Times New Roman" w:cs="Times New Roman"/>
        </w:rPr>
        <w:t xml:space="preserve"> &amp; the applicant within </w:t>
      </w:r>
      <w:r w:rsidR="003462BE">
        <w:rPr>
          <w:rFonts w:ascii="Times New Roman" w:hAnsi="Times New Roman" w:cs="Times New Roman"/>
        </w:rPr>
        <w:t>1 (one) week</w:t>
      </w:r>
      <w:r w:rsidR="00AD66F5" w:rsidRPr="003666BD">
        <w:rPr>
          <w:rFonts w:ascii="Times New Roman" w:hAnsi="Times New Roman" w:cs="Times New Roman"/>
        </w:rPr>
        <w:t xml:space="preserve"> from date of issuance of the </w:t>
      </w:r>
      <w:r w:rsidR="00B72E83" w:rsidRPr="00B72E83">
        <w:rPr>
          <w:rFonts w:ascii="Times New Roman" w:hAnsi="Times New Roman" w:cs="Times New Roman"/>
          <w:b/>
        </w:rPr>
        <w:t>Allotment Letter</w:t>
      </w:r>
      <w:r w:rsidR="00AD66F5" w:rsidRPr="003666BD">
        <w:rPr>
          <w:rFonts w:ascii="Times New Roman" w:hAnsi="Times New Roman" w:cs="Times New Roman"/>
        </w:rPr>
        <w:t>.</w:t>
      </w:r>
    </w:p>
    <w:p w:rsidR="009B5846" w:rsidRPr="00FC588E" w:rsidRDefault="00F23301" w:rsidP="00FC588E">
      <w:pPr>
        <w:pStyle w:val="ListParagraph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3666BD">
        <w:rPr>
          <w:rFonts w:ascii="Times New Roman" w:hAnsi="Times New Roman" w:cs="Times New Roman"/>
        </w:rPr>
        <w:lastRenderedPageBreak/>
        <w:t>After execution of other necessary formalities, the applicant is given possession of the Land</w:t>
      </w:r>
      <w:r w:rsidR="00362B3E">
        <w:rPr>
          <w:rFonts w:ascii="Times New Roman" w:hAnsi="Times New Roman" w:cs="Times New Roman"/>
        </w:rPr>
        <w:t xml:space="preserve"> within </w:t>
      </w:r>
      <w:r w:rsidR="00232D66">
        <w:rPr>
          <w:rFonts w:ascii="Times New Roman" w:hAnsi="Times New Roman" w:cs="Times New Roman"/>
        </w:rPr>
        <w:t>1 (one) week</w:t>
      </w:r>
      <w:r w:rsidR="00362B3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C4349" w:rsidRDefault="004B3C69" w:rsidP="00BF1268">
      <w:pPr>
        <w:pStyle w:val="ListParagraph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CC4349">
        <w:rPr>
          <w:rFonts w:ascii="Times New Roman" w:hAnsi="Times New Roman" w:cs="Times New Roman"/>
        </w:rPr>
        <w:t>MD of the concer</w:t>
      </w:r>
      <w:r w:rsidR="00CC4349" w:rsidRPr="00CC4349">
        <w:rPr>
          <w:rFonts w:ascii="Times New Roman" w:hAnsi="Times New Roman" w:cs="Times New Roman"/>
        </w:rPr>
        <w:t xml:space="preserve">ned agency may also consider to </w:t>
      </w:r>
      <w:r w:rsidRPr="00CC4349">
        <w:rPr>
          <w:rFonts w:ascii="Times New Roman" w:hAnsi="Times New Roman" w:cs="Times New Roman"/>
        </w:rPr>
        <w:t xml:space="preserve">allot the land on receipt of the value of the land in advance, and being satisfied about the genuineness of the </w:t>
      </w:r>
      <w:r w:rsidR="00FC588E" w:rsidRPr="00CC4349">
        <w:rPr>
          <w:rFonts w:ascii="Times New Roman" w:hAnsi="Times New Roman" w:cs="Times New Roman"/>
        </w:rPr>
        <w:t xml:space="preserve">Promoter/ </w:t>
      </w:r>
      <w:r w:rsidRPr="00CC4349">
        <w:rPr>
          <w:rFonts w:ascii="Times New Roman" w:hAnsi="Times New Roman" w:cs="Times New Roman"/>
        </w:rPr>
        <w:t xml:space="preserve">Company </w:t>
      </w:r>
      <w:r w:rsidR="00FC588E" w:rsidRPr="00CC4349">
        <w:rPr>
          <w:rFonts w:ascii="Times New Roman" w:hAnsi="Times New Roman" w:cs="Times New Roman"/>
        </w:rPr>
        <w:t>and viability of the</w:t>
      </w:r>
      <w:r w:rsidRPr="00CC4349">
        <w:rPr>
          <w:rFonts w:ascii="Times New Roman" w:hAnsi="Times New Roman" w:cs="Times New Roman"/>
        </w:rPr>
        <w:t xml:space="preserve"> Project in anticipation of the approval of the Land Allotment Committee. Such allotments shall be made in exceptional cases only, where there is no application i</w:t>
      </w:r>
      <w:r w:rsidR="00133651" w:rsidRPr="00CC4349">
        <w:rPr>
          <w:rFonts w:ascii="Times New Roman" w:hAnsi="Times New Roman" w:cs="Times New Roman"/>
        </w:rPr>
        <w:t>s</w:t>
      </w:r>
      <w:r w:rsidRPr="00CC4349">
        <w:rPr>
          <w:rFonts w:ascii="Times New Roman" w:hAnsi="Times New Roman" w:cs="Times New Roman"/>
        </w:rPr>
        <w:t xml:space="preserve"> pending for that plot of land</w:t>
      </w:r>
      <w:r w:rsidR="00CC4349">
        <w:rPr>
          <w:rFonts w:ascii="Times New Roman" w:hAnsi="Times New Roman" w:cs="Times New Roman"/>
        </w:rPr>
        <w:t xml:space="preserve"> or the land is ideal for a long period. The quantum of land allotment will be based as per guidelines</w:t>
      </w:r>
      <w:r w:rsidR="00964E27">
        <w:rPr>
          <w:rFonts w:ascii="Times New Roman" w:hAnsi="Times New Roman" w:cs="Times New Roman"/>
        </w:rPr>
        <w:t xml:space="preserve"> </w:t>
      </w:r>
      <w:r w:rsidR="00CC4349">
        <w:rPr>
          <w:rFonts w:ascii="Times New Roman" w:hAnsi="Times New Roman" w:cs="Times New Roman"/>
        </w:rPr>
        <w:t xml:space="preserve">of the land allotment as in normal cases.  </w:t>
      </w:r>
    </w:p>
    <w:p w:rsidR="00BF1268" w:rsidRPr="00CC4349" w:rsidRDefault="00BF1268" w:rsidP="00BF1268">
      <w:pPr>
        <w:pStyle w:val="ListParagraph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CC4349">
        <w:rPr>
          <w:rFonts w:ascii="Times New Roman" w:hAnsi="Times New Roman" w:cs="Times New Roman"/>
          <w:b/>
        </w:rPr>
        <w:t xml:space="preserve">Cancellation </w:t>
      </w:r>
      <w:r w:rsidR="00C00959" w:rsidRPr="00CC4349">
        <w:rPr>
          <w:rFonts w:ascii="Times New Roman" w:hAnsi="Times New Roman" w:cs="Times New Roman"/>
          <w:b/>
        </w:rPr>
        <w:t xml:space="preserve">of Allotment </w:t>
      </w:r>
      <w:r w:rsidR="00460DF4" w:rsidRPr="00CC4349">
        <w:rPr>
          <w:rFonts w:ascii="Times New Roman" w:hAnsi="Times New Roman" w:cs="Times New Roman"/>
          <w:b/>
        </w:rPr>
        <w:t>–</w:t>
      </w:r>
      <w:r w:rsidR="00C00959" w:rsidRPr="00CC4349">
        <w:rPr>
          <w:rFonts w:ascii="Times New Roman" w:hAnsi="Times New Roman" w:cs="Times New Roman"/>
          <w:b/>
        </w:rPr>
        <w:t xml:space="preserve"> </w:t>
      </w:r>
    </w:p>
    <w:p w:rsidR="001A4791" w:rsidRDefault="001A4791" w:rsidP="00E96D6D">
      <w:pPr>
        <w:pStyle w:val="ListParagraph"/>
        <w:spacing w:after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allotment of land/ shed/ space to any private investor may be cancelled in case of:</w:t>
      </w:r>
    </w:p>
    <w:p w:rsidR="001A4791" w:rsidRDefault="001A4791" w:rsidP="001A4791">
      <w:pPr>
        <w:pStyle w:val="ListParagraph"/>
        <w:numPr>
          <w:ilvl w:val="0"/>
          <w:numId w:val="6"/>
        </w:numPr>
        <w:spacing w:after="120" w:line="312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Failure to pay the requisite recurring maintenance charges and other fees (</w:t>
      </w:r>
      <w:r>
        <w:rPr>
          <w:rFonts w:ascii="Times New Roman" w:hAnsi="Times New Roman" w:cs="Times New Roman"/>
          <w:i/>
        </w:rPr>
        <w:t>if any</w:t>
      </w:r>
      <w:r>
        <w:rPr>
          <w:rFonts w:ascii="Times New Roman" w:hAnsi="Times New Roman" w:cs="Times New Roman"/>
        </w:rPr>
        <w:t>) regularly;</w:t>
      </w:r>
    </w:p>
    <w:p w:rsidR="001A4791" w:rsidRDefault="001A4791" w:rsidP="001A4791">
      <w:pPr>
        <w:pStyle w:val="ListParagraph"/>
        <w:numPr>
          <w:ilvl w:val="0"/>
          <w:numId w:val="6"/>
        </w:numPr>
        <w:spacing w:after="120" w:line="312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Failure to start industrial activity within the stipulated time as mandated by </w:t>
      </w:r>
      <w:r w:rsidR="006F5B05">
        <w:rPr>
          <w:rFonts w:ascii="Times New Roman" w:hAnsi="Times New Roman" w:cs="Times New Roman"/>
        </w:rPr>
        <w:t>allotment order</w:t>
      </w:r>
      <w:r>
        <w:rPr>
          <w:rFonts w:ascii="Times New Roman" w:hAnsi="Times New Roman" w:cs="Times New Roman"/>
        </w:rPr>
        <w:t>;</w:t>
      </w:r>
    </w:p>
    <w:p w:rsidR="001A4791" w:rsidRDefault="001A4791" w:rsidP="001A4791">
      <w:pPr>
        <w:pStyle w:val="ListParagraph"/>
        <w:numPr>
          <w:ilvl w:val="0"/>
          <w:numId w:val="6"/>
        </w:numPr>
        <w:spacing w:after="120" w:line="312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Violation of any of the terms and conditions of allotment by the investor; and</w:t>
      </w:r>
    </w:p>
    <w:p w:rsidR="001A4791" w:rsidRDefault="00964E27" w:rsidP="001A4791">
      <w:pPr>
        <w:pStyle w:val="ListParagraph"/>
        <w:numPr>
          <w:ilvl w:val="0"/>
          <w:numId w:val="6"/>
        </w:numPr>
        <w:spacing w:after="120" w:line="312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Discovery of false claims, false declaration </w:t>
      </w:r>
      <w:r w:rsidR="001A4791">
        <w:rPr>
          <w:rFonts w:ascii="Times New Roman" w:hAnsi="Times New Roman" w:cs="Times New Roman"/>
        </w:rPr>
        <w:t>or other wrong doing during the allotment process and/ or any Order to that effect from any competent Court.</w:t>
      </w:r>
    </w:p>
    <w:p w:rsidR="007D556F" w:rsidRPr="00630646" w:rsidRDefault="001A4791" w:rsidP="00630646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</w:rPr>
      </w:pPr>
      <w:r w:rsidRPr="00630646">
        <w:rPr>
          <w:rFonts w:ascii="Times New Roman" w:hAnsi="Times New Roman" w:cs="Times New Roman"/>
        </w:rPr>
        <w:t>The allottee may also relinquish the allotment, and hand over the land free from all encumbrances.</w:t>
      </w:r>
    </w:p>
    <w:p w:rsidR="00E96D6D" w:rsidRPr="00CC26D8" w:rsidRDefault="007D556F" w:rsidP="00CC26D8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</w:rPr>
      </w:pPr>
      <w:r w:rsidRPr="00CC26D8">
        <w:rPr>
          <w:rFonts w:ascii="Times New Roman" w:hAnsi="Times New Roman" w:cs="Times New Roman"/>
          <w:b/>
        </w:rPr>
        <w:t>Refunds:</w:t>
      </w:r>
      <w:r w:rsidRPr="00CC26D8">
        <w:rPr>
          <w:rFonts w:ascii="Times New Roman" w:hAnsi="Times New Roman" w:cs="Times New Roman"/>
        </w:rPr>
        <w:t xml:space="preserve"> In case of cancellation of lease deed, if the allottee makes a request for refund of fees paid; the same shall be considered by the allotting authority </w:t>
      </w:r>
      <w:r w:rsidR="003F32D4">
        <w:rPr>
          <w:rFonts w:ascii="Times New Roman" w:hAnsi="Times New Roman" w:cs="Times New Roman"/>
        </w:rPr>
        <w:t xml:space="preserve">i.e. State Level Committee for land allotment </w:t>
      </w:r>
      <w:r w:rsidRPr="00CC26D8">
        <w:rPr>
          <w:rFonts w:ascii="Times New Roman" w:hAnsi="Times New Roman" w:cs="Times New Roman"/>
        </w:rPr>
        <w:t>[</w:t>
      </w:r>
      <w:r w:rsidRPr="00CC26D8">
        <w:rPr>
          <w:rFonts w:ascii="Times New Roman" w:hAnsi="Times New Roman" w:cs="Times New Roman"/>
          <w:i/>
        </w:rPr>
        <w:t>viz</w:t>
      </w:r>
      <w:r w:rsidRPr="00CC26D8">
        <w:rPr>
          <w:rFonts w:ascii="Times New Roman" w:hAnsi="Times New Roman" w:cs="Times New Roman"/>
        </w:rPr>
        <w:t xml:space="preserve">. Industrial Development Corporations (IDCs) and the Commissionerate of Industries &amp; Commerce (C–I&amp;C)] as follows –  </w:t>
      </w:r>
    </w:p>
    <w:p w:rsidR="007D556F" w:rsidRDefault="00E96D6D" w:rsidP="007D556F">
      <w:pPr>
        <w:pStyle w:val="ListParagraph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E96D6D">
        <w:rPr>
          <w:rFonts w:ascii="Times New Roman" w:hAnsi="Times New Roman" w:cs="Times New Roman"/>
        </w:rPr>
        <w:t xml:space="preserve">If any applicant makes a request for refund of </w:t>
      </w:r>
      <w:r w:rsidR="00C23A37">
        <w:rPr>
          <w:rFonts w:ascii="Times New Roman" w:hAnsi="Times New Roman" w:cs="Times New Roman"/>
        </w:rPr>
        <w:t>advance</w:t>
      </w:r>
      <w:r w:rsidRPr="00E96D6D">
        <w:rPr>
          <w:rFonts w:ascii="Times New Roman" w:hAnsi="Times New Roman" w:cs="Times New Roman"/>
        </w:rPr>
        <w:t xml:space="preserve"> paid by him withdrawing his</w:t>
      </w:r>
      <w:r w:rsidR="007D556F">
        <w:rPr>
          <w:rFonts w:ascii="Times New Roman" w:hAnsi="Times New Roman" w:cs="Times New Roman"/>
        </w:rPr>
        <w:t xml:space="preserve"> </w:t>
      </w:r>
      <w:r w:rsidRPr="00E96D6D">
        <w:rPr>
          <w:rFonts w:ascii="Times New Roman" w:hAnsi="Times New Roman" w:cs="Times New Roman"/>
        </w:rPr>
        <w:t xml:space="preserve">application before </w:t>
      </w:r>
      <w:r w:rsidR="00335891">
        <w:rPr>
          <w:rFonts w:ascii="Times New Roman" w:hAnsi="Times New Roman" w:cs="Times New Roman"/>
        </w:rPr>
        <w:t>L</w:t>
      </w:r>
      <w:r w:rsidRPr="00E96D6D">
        <w:rPr>
          <w:rFonts w:ascii="Times New Roman" w:hAnsi="Times New Roman" w:cs="Times New Roman"/>
        </w:rPr>
        <w:t>etter</w:t>
      </w:r>
      <w:r w:rsidR="00335891">
        <w:rPr>
          <w:rFonts w:ascii="Times New Roman" w:hAnsi="Times New Roman" w:cs="Times New Roman"/>
        </w:rPr>
        <w:t xml:space="preserve"> of Allotment</w:t>
      </w:r>
      <w:r w:rsidRPr="00E96D6D">
        <w:rPr>
          <w:rFonts w:ascii="Times New Roman" w:hAnsi="Times New Roman" w:cs="Times New Roman"/>
        </w:rPr>
        <w:t xml:space="preserve"> is issued, full </w:t>
      </w:r>
      <w:r w:rsidR="00C23A37">
        <w:rPr>
          <w:rFonts w:ascii="Times New Roman" w:hAnsi="Times New Roman" w:cs="Times New Roman"/>
        </w:rPr>
        <w:t>advance</w:t>
      </w:r>
      <w:r w:rsidRPr="00E96D6D">
        <w:rPr>
          <w:rFonts w:ascii="Times New Roman" w:hAnsi="Times New Roman" w:cs="Times New Roman"/>
        </w:rPr>
        <w:t xml:space="preserve"> shall be refunded</w:t>
      </w:r>
      <w:r w:rsidR="00C23A37">
        <w:rPr>
          <w:rFonts w:ascii="Times New Roman" w:hAnsi="Times New Roman" w:cs="Times New Roman"/>
        </w:rPr>
        <w:t xml:space="preserve"> only</w:t>
      </w:r>
      <w:r w:rsidRPr="00E96D6D">
        <w:rPr>
          <w:rFonts w:ascii="Times New Roman" w:hAnsi="Times New Roman" w:cs="Times New Roman"/>
        </w:rPr>
        <w:t>. The</w:t>
      </w:r>
      <w:r w:rsidR="007D556F">
        <w:rPr>
          <w:rFonts w:ascii="Times New Roman" w:hAnsi="Times New Roman" w:cs="Times New Roman"/>
        </w:rPr>
        <w:t xml:space="preserve"> </w:t>
      </w:r>
      <w:r w:rsidRPr="00E96D6D">
        <w:rPr>
          <w:rFonts w:ascii="Times New Roman" w:hAnsi="Times New Roman" w:cs="Times New Roman"/>
        </w:rPr>
        <w:t>Process</w:t>
      </w:r>
      <w:r w:rsidR="007D556F">
        <w:rPr>
          <w:rFonts w:ascii="Times New Roman" w:hAnsi="Times New Roman" w:cs="Times New Roman"/>
        </w:rPr>
        <w:t>ing</w:t>
      </w:r>
      <w:r w:rsidRPr="00E96D6D">
        <w:rPr>
          <w:rFonts w:ascii="Times New Roman" w:hAnsi="Times New Roman" w:cs="Times New Roman"/>
        </w:rPr>
        <w:t xml:space="preserve"> </w:t>
      </w:r>
      <w:r w:rsidR="007D556F">
        <w:rPr>
          <w:rFonts w:ascii="Times New Roman" w:hAnsi="Times New Roman" w:cs="Times New Roman"/>
        </w:rPr>
        <w:t>F</w:t>
      </w:r>
      <w:r w:rsidRPr="00E96D6D">
        <w:rPr>
          <w:rFonts w:ascii="Times New Roman" w:hAnsi="Times New Roman" w:cs="Times New Roman"/>
        </w:rPr>
        <w:t>ee is non-refundable.</w:t>
      </w:r>
    </w:p>
    <w:p w:rsidR="00E96D6D" w:rsidRDefault="00E96D6D" w:rsidP="007D556F">
      <w:pPr>
        <w:pStyle w:val="ListParagraph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7D556F">
        <w:rPr>
          <w:rFonts w:ascii="Times New Roman" w:hAnsi="Times New Roman" w:cs="Times New Roman"/>
        </w:rPr>
        <w:t>If the application for allotment could not be considered for want of vacant plots/</w:t>
      </w:r>
      <w:r w:rsidR="007D556F">
        <w:rPr>
          <w:rFonts w:ascii="Times New Roman" w:hAnsi="Times New Roman" w:cs="Times New Roman"/>
        </w:rPr>
        <w:t xml:space="preserve"> </w:t>
      </w:r>
      <w:r w:rsidRPr="007D556F">
        <w:rPr>
          <w:rFonts w:ascii="Times New Roman" w:hAnsi="Times New Roman" w:cs="Times New Roman"/>
        </w:rPr>
        <w:t xml:space="preserve">sheds, full </w:t>
      </w:r>
      <w:r w:rsidR="00C23A37">
        <w:rPr>
          <w:rFonts w:ascii="Times New Roman" w:hAnsi="Times New Roman" w:cs="Times New Roman"/>
        </w:rPr>
        <w:t>advance, security money</w:t>
      </w:r>
      <w:r w:rsidRPr="007D556F">
        <w:rPr>
          <w:rFonts w:ascii="Times New Roman" w:hAnsi="Times New Roman" w:cs="Times New Roman"/>
        </w:rPr>
        <w:t xml:space="preserve"> shall be refunded.</w:t>
      </w:r>
    </w:p>
    <w:p w:rsidR="00E96D6D" w:rsidRDefault="007D556F" w:rsidP="00E96D6D">
      <w:pPr>
        <w:pStyle w:val="ListParagraph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</w:rPr>
      </w:pPr>
      <w:r w:rsidRPr="007D556F">
        <w:rPr>
          <w:rFonts w:ascii="Times New Roman" w:hAnsi="Times New Roman" w:cs="Times New Roman"/>
        </w:rPr>
        <w:t>I</w:t>
      </w:r>
      <w:r w:rsidR="00E96D6D" w:rsidRPr="007D556F">
        <w:rPr>
          <w:rFonts w:ascii="Times New Roman" w:hAnsi="Times New Roman" w:cs="Times New Roman"/>
        </w:rPr>
        <w:t xml:space="preserve">f the </w:t>
      </w:r>
      <w:r w:rsidR="00142EF5">
        <w:rPr>
          <w:rFonts w:ascii="Times New Roman" w:hAnsi="Times New Roman" w:cs="Times New Roman"/>
        </w:rPr>
        <w:t>Letter of A</w:t>
      </w:r>
      <w:r w:rsidR="00E96D6D" w:rsidRPr="007D556F">
        <w:rPr>
          <w:rFonts w:ascii="Times New Roman" w:hAnsi="Times New Roman" w:cs="Times New Roman"/>
        </w:rPr>
        <w:t>llotment for premises is issued but the allottee fails to comply with the</w:t>
      </w:r>
      <w:r w:rsidRPr="007D556F">
        <w:rPr>
          <w:rFonts w:ascii="Times New Roman" w:hAnsi="Times New Roman" w:cs="Times New Roman"/>
        </w:rPr>
        <w:t xml:space="preserve"> </w:t>
      </w:r>
      <w:r w:rsidR="00E96D6D" w:rsidRPr="007D556F">
        <w:rPr>
          <w:rFonts w:ascii="Times New Roman" w:hAnsi="Times New Roman" w:cs="Times New Roman"/>
        </w:rPr>
        <w:t xml:space="preserve">terms and conditions of allotment and consequent to cancellation, the </w:t>
      </w:r>
      <w:r w:rsidR="00C23A37">
        <w:rPr>
          <w:rFonts w:ascii="Times New Roman" w:hAnsi="Times New Roman" w:cs="Times New Roman"/>
        </w:rPr>
        <w:t>security money</w:t>
      </w:r>
      <w:r w:rsidR="00E96D6D" w:rsidRPr="007D556F">
        <w:rPr>
          <w:rFonts w:ascii="Times New Roman" w:hAnsi="Times New Roman" w:cs="Times New Roman"/>
        </w:rPr>
        <w:t xml:space="preserve"> will be forfeited.</w:t>
      </w:r>
    </w:p>
    <w:p w:rsidR="00460DF4" w:rsidRDefault="00460DF4" w:rsidP="004E14BC">
      <w:pPr>
        <w:pStyle w:val="ListParagraph"/>
        <w:numPr>
          <w:ilvl w:val="0"/>
          <w:numId w:val="7"/>
        </w:numPr>
        <w:spacing w:before="120" w:after="60" w:line="312" w:lineRule="auto"/>
        <w:contextualSpacing w:val="0"/>
        <w:jc w:val="both"/>
        <w:rPr>
          <w:rFonts w:ascii="Times New Roman" w:hAnsi="Times New Roman" w:cs="Times New Roman"/>
        </w:rPr>
      </w:pPr>
      <w:r w:rsidRPr="004E14BC">
        <w:rPr>
          <w:rFonts w:ascii="Times New Roman" w:hAnsi="Times New Roman" w:cs="Times New Roman"/>
        </w:rPr>
        <w:t xml:space="preserve">In case, power supply is obtained by the allottee, </w:t>
      </w:r>
      <w:r w:rsidR="004E14BC">
        <w:rPr>
          <w:rFonts w:ascii="Times New Roman" w:hAnsi="Times New Roman" w:cs="Times New Roman"/>
        </w:rPr>
        <w:t xml:space="preserve">before any refund is considered, </w:t>
      </w:r>
      <w:r w:rsidRPr="004E14BC">
        <w:rPr>
          <w:rFonts w:ascii="Times New Roman" w:hAnsi="Times New Roman" w:cs="Times New Roman"/>
        </w:rPr>
        <w:t>a "No Dues Certificate" and</w:t>
      </w:r>
      <w:r w:rsidR="004E14BC">
        <w:rPr>
          <w:rFonts w:ascii="Times New Roman" w:hAnsi="Times New Roman" w:cs="Times New Roman"/>
        </w:rPr>
        <w:t xml:space="preserve"> </w:t>
      </w:r>
      <w:r w:rsidRPr="004E14BC">
        <w:rPr>
          <w:rFonts w:ascii="Times New Roman" w:hAnsi="Times New Roman" w:cs="Times New Roman"/>
        </w:rPr>
        <w:t xml:space="preserve">"Dismantling Certificate" from </w:t>
      </w:r>
      <w:r w:rsidR="004E14BC">
        <w:rPr>
          <w:rFonts w:ascii="Times New Roman" w:hAnsi="Times New Roman" w:cs="Times New Roman"/>
        </w:rPr>
        <w:t xml:space="preserve">APDCL or any other power distribution company in </w:t>
      </w:r>
      <w:r w:rsidR="00941500">
        <w:rPr>
          <w:rFonts w:ascii="Times New Roman" w:hAnsi="Times New Roman" w:cs="Times New Roman"/>
        </w:rPr>
        <w:t>operation</w:t>
      </w:r>
      <w:r w:rsidRPr="004E14BC">
        <w:rPr>
          <w:rFonts w:ascii="Times New Roman" w:hAnsi="Times New Roman" w:cs="Times New Roman"/>
        </w:rPr>
        <w:t xml:space="preserve"> shall </w:t>
      </w:r>
      <w:r w:rsidR="004E14BC">
        <w:rPr>
          <w:rFonts w:ascii="Times New Roman" w:hAnsi="Times New Roman" w:cs="Times New Roman"/>
        </w:rPr>
        <w:t xml:space="preserve">have to be </w:t>
      </w:r>
      <w:r w:rsidRPr="004E14BC">
        <w:rPr>
          <w:rFonts w:ascii="Times New Roman" w:hAnsi="Times New Roman" w:cs="Times New Roman"/>
        </w:rPr>
        <w:t>submitted.</w:t>
      </w:r>
    </w:p>
    <w:p w:rsidR="00474D03" w:rsidRDefault="00941500" w:rsidP="00474D03">
      <w:pPr>
        <w:pStyle w:val="ListParagraph"/>
        <w:numPr>
          <w:ilvl w:val="0"/>
          <w:numId w:val="7"/>
        </w:numPr>
        <w:spacing w:before="120" w:after="6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case, the allottee had mortgaged his lease-hold rights to any bank or financial institution for securing loans; then the allottee has to free that lease-hold rights by providing other collaterals before any refund can be considered.</w:t>
      </w:r>
    </w:p>
    <w:p w:rsidR="00474D03" w:rsidRDefault="00474D03" w:rsidP="00474D03">
      <w:pPr>
        <w:pStyle w:val="ListParagraph"/>
        <w:spacing w:before="120" w:after="60" w:line="312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474D03">
        <w:rPr>
          <w:rFonts w:ascii="Times New Roman" w:hAnsi="Times New Roman" w:cs="Times New Roman"/>
        </w:rPr>
        <w:t>19.</w:t>
      </w:r>
      <w:r w:rsidRPr="00474D03">
        <w:rPr>
          <w:rFonts w:ascii="Times New Roman" w:hAnsi="Times New Roman" w:cs="Times New Roman"/>
        </w:rPr>
        <w:tab/>
      </w:r>
      <w:r w:rsidRPr="00474D03">
        <w:rPr>
          <w:rFonts w:ascii="Times New Roman" w:hAnsi="Times New Roman" w:cs="Times New Roman"/>
          <w:b/>
        </w:rPr>
        <w:t xml:space="preserve"> Relinquishment: </w:t>
      </w:r>
      <w:r w:rsidRPr="00474D0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Industrial house after getting allotment of land and created some infrastructure for the allotted purpose may also relinquish the allotted land to Corporation/ PSU agencies</w:t>
      </w:r>
      <w:r w:rsidR="005B655A">
        <w:rPr>
          <w:rFonts w:ascii="Times New Roman" w:hAnsi="Times New Roman" w:cs="Times New Roman"/>
        </w:rPr>
        <w:t>, if</w:t>
      </w:r>
      <w:r>
        <w:rPr>
          <w:rFonts w:ascii="Times New Roman" w:hAnsi="Times New Roman" w:cs="Times New Roman"/>
        </w:rPr>
        <w:t xml:space="preserve"> they are not interested to continue their business in the industrial area etc.</w:t>
      </w:r>
      <w:r w:rsidR="005B655A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n that case following steps will be taken to give a fair value of the immovable infrastructure created in the allotted premises. </w:t>
      </w:r>
    </w:p>
    <w:p w:rsidR="00474D03" w:rsidRDefault="00474D03" w:rsidP="00474D03">
      <w:pPr>
        <w:pStyle w:val="ListParagraph"/>
        <w:spacing w:before="120" w:after="60" w:line="312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74D0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following steps will be taken by agencies while allotting the land to new entrepreneurs:</w:t>
      </w:r>
    </w:p>
    <w:p w:rsidR="00474D03" w:rsidRDefault="00474D03" w:rsidP="00474D03">
      <w:pPr>
        <w:pStyle w:val="ListParagraph"/>
        <w:numPr>
          <w:ilvl w:val="0"/>
          <w:numId w:val="11"/>
        </w:numPr>
        <w:spacing w:before="120" w:after="6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Valuation of the immovable assets to get a fair value/ over and above the value expected by the industrialists.</w:t>
      </w:r>
    </w:p>
    <w:p w:rsidR="00474D03" w:rsidRDefault="00474D03" w:rsidP="00474D03">
      <w:pPr>
        <w:pStyle w:val="ListParagraph"/>
        <w:numPr>
          <w:ilvl w:val="0"/>
          <w:numId w:val="11"/>
        </w:numPr>
        <w:spacing w:before="120" w:after="6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Valuat</w:t>
      </w:r>
      <w:r w:rsidR="00B61AAC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value will be</w:t>
      </w:r>
      <w:r w:rsidR="005B655A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base price for immovable infrastructure, below which the assets will not be allotted to entrepreneurs. </w:t>
      </w:r>
    </w:p>
    <w:p w:rsidR="005B655A" w:rsidRDefault="00474D03" w:rsidP="005B655A">
      <w:pPr>
        <w:pStyle w:val="ListParagraph"/>
        <w:numPr>
          <w:ilvl w:val="0"/>
          <w:numId w:val="11"/>
        </w:numPr>
        <w:spacing w:before="120" w:after="60" w:line="312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Agencies will</w:t>
      </w:r>
      <w:r w:rsidR="00B61AAC">
        <w:rPr>
          <w:rFonts w:ascii="Times New Roman" w:hAnsi="Times New Roman" w:cs="Times New Roman"/>
        </w:rPr>
        <w:t xml:space="preserve"> </w:t>
      </w:r>
      <w:r w:rsidR="007751A0">
        <w:rPr>
          <w:rFonts w:ascii="Times New Roman" w:hAnsi="Times New Roman" w:cs="Times New Roman"/>
        </w:rPr>
        <w:t>determine</w:t>
      </w:r>
      <w:r>
        <w:rPr>
          <w:rFonts w:ascii="Times New Roman" w:hAnsi="Times New Roman" w:cs="Times New Roman"/>
        </w:rPr>
        <w:t xml:space="preserve"> </w:t>
      </w:r>
      <w:r w:rsidR="00B61AAC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administrative costs, costs </w:t>
      </w:r>
      <w:r w:rsidR="000F79E2">
        <w:rPr>
          <w:rFonts w:ascii="Times New Roman" w:hAnsi="Times New Roman" w:cs="Times New Roman"/>
        </w:rPr>
        <w:t xml:space="preserve">of valuation </w:t>
      </w:r>
      <w:r>
        <w:rPr>
          <w:rFonts w:ascii="Times New Roman" w:hAnsi="Times New Roman" w:cs="Times New Roman"/>
        </w:rPr>
        <w:t xml:space="preserve">etc. during recovery </w:t>
      </w:r>
      <w:r w:rsidR="000F79E2">
        <w:rPr>
          <w:rFonts w:ascii="Times New Roman" w:hAnsi="Times New Roman" w:cs="Times New Roman"/>
        </w:rPr>
        <w:t xml:space="preserve">process </w:t>
      </w:r>
      <w:r>
        <w:rPr>
          <w:rFonts w:ascii="Times New Roman" w:hAnsi="Times New Roman" w:cs="Times New Roman"/>
        </w:rPr>
        <w:t xml:space="preserve">and the </w:t>
      </w:r>
      <w:r w:rsidR="000F79E2">
        <w:rPr>
          <w:rFonts w:ascii="Times New Roman" w:hAnsi="Times New Roman" w:cs="Times New Roman"/>
        </w:rPr>
        <w:t>same</w:t>
      </w:r>
      <w:r>
        <w:rPr>
          <w:rFonts w:ascii="Times New Roman" w:hAnsi="Times New Roman" w:cs="Times New Roman"/>
        </w:rPr>
        <w:t xml:space="preserve"> will be deducted </w:t>
      </w:r>
      <w:r w:rsidR="000F79E2">
        <w:rPr>
          <w:rFonts w:ascii="Times New Roman" w:hAnsi="Times New Roman" w:cs="Times New Roman"/>
        </w:rPr>
        <w:t>from refundable amount to the industrialist who relinquishes</w:t>
      </w:r>
      <w:r>
        <w:rPr>
          <w:rFonts w:ascii="Times New Roman" w:hAnsi="Times New Roman" w:cs="Times New Roman"/>
        </w:rPr>
        <w:t xml:space="preserve"> </w:t>
      </w:r>
      <w:r w:rsidR="000F79E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land</w:t>
      </w:r>
      <w:r w:rsidR="000F79E2">
        <w:rPr>
          <w:rFonts w:ascii="Times New Roman" w:hAnsi="Times New Roman" w:cs="Times New Roman"/>
        </w:rPr>
        <w:t xml:space="preserve"> and assets</w:t>
      </w:r>
      <w:r>
        <w:rPr>
          <w:rFonts w:ascii="Times New Roman" w:hAnsi="Times New Roman" w:cs="Times New Roman"/>
        </w:rPr>
        <w:t xml:space="preserve">. </w:t>
      </w:r>
    </w:p>
    <w:p w:rsidR="00B87947" w:rsidRPr="005B655A" w:rsidRDefault="00DD28BC" w:rsidP="005B655A">
      <w:pPr>
        <w:pStyle w:val="ListParagraph"/>
        <w:spacing w:before="120" w:after="60" w:line="312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B655A">
        <w:rPr>
          <w:rFonts w:ascii="Cambria" w:hAnsi="Cambria" w:cs="Times New Roman"/>
          <w:b/>
          <w:i/>
          <w:sz w:val="32"/>
          <w:szCs w:val="32"/>
          <w:u w:val="single"/>
        </w:rPr>
        <w:t>Annexure</w:t>
      </w:r>
      <w:r w:rsidR="00B87947" w:rsidRPr="005B655A">
        <w:rPr>
          <w:rFonts w:ascii="Cambria" w:hAnsi="Cambria" w:cs="Times New Roman"/>
          <w:b/>
          <w:i/>
          <w:sz w:val="32"/>
          <w:szCs w:val="32"/>
          <w:u w:val="single"/>
        </w:rPr>
        <w:t>s</w:t>
      </w:r>
      <w:r w:rsidRPr="005B655A">
        <w:rPr>
          <w:rFonts w:ascii="Cambria" w:hAnsi="Cambria" w:cs="Times New Roman"/>
          <w:b/>
          <w:sz w:val="32"/>
          <w:szCs w:val="32"/>
          <w:u w:val="single"/>
        </w:rPr>
        <w:t>:</w:t>
      </w:r>
    </w:p>
    <w:p w:rsidR="00DD28BC" w:rsidRPr="00705E89" w:rsidRDefault="00B87947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sz w:val="24"/>
        </w:rPr>
        <w:t>Annexure A:</w:t>
      </w:r>
      <w:r w:rsidR="00DD28BC">
        <w:rPr>
          <w:rFonts w:ascii="Cambria" w:hAnsi="Cambria" w:cs="Times New Roman"/>
          <w:b/>
        </w:rPr>
        <w:tab/>
      </w:r>
      <w:r w:rsidR="00705E89">
        <w:rPr>
          <w:rFonts w:ascii="Cambria" w:hAnsi="Cambria" w:cs="Times New Roman"/>
          <w:b/>
        </w:rPr>
        <w:t xml:space="preserve">Detailed Guidelines for Selection by the Selection Committee – </w:t>
      </w:r>
      <w:r w:rsidR="00705E89">
        <w:rPr>
          <w:rFonts w:ascii="Cambria" w:hAnsi="Cambria" w:cs="Times New Roman"/>
          <w:b/>
          <w:i/>
        </w:rPr>
        <w:t xml:space="preserve">along with </w:t>
      </w:r>
      <w:r w:rsidR="00705E89">
        <w:rPr>
          <w:rFonts w:ascii="Cambria" w:hAnsi="Cambria" w:cs="Times New Roman"/>
          <w:b/>
        </w:rPr>
        <w:t>Timelines for Different Processes</w:t>
      </w:r>
    </w:p>
    <w:p w:rsidR="00705E89" w:rsidRPr="00705E89" w:rsidRDefault="00705E89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sz w:val="24"/>
        </w:rPr>
        <w:t>Annexure B: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</w:rPr>
        <w:t>Online Application Form</w:t>
      </w:r>
    </w:p>
    <w:p w:rsidR="00705E89" w:rsidRDefault="00705E89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sz w:val="24"/>
        </w:rPr>
        <w:t>Annexure C:</w:t>
      </w:r>
      <w:r>
        <w:rPr>
          <w:rFonts w:ascii="Cambria" w:hAnsi="Cambria" w:cs="Times New Roman"/>
          <w:b/>
          <w:sz w:val="24"/>
        </w:rPr>
        <w:tab/>
      </w:r>
      <w:r w:rsidRPr="00705E89">
        <w:rPr>
          <w:rFonts w:ascii="Cambria" w:hAnsi="Cambria" w:cs="Times New Roman"/>
          <w:b/>
        </w:rPr>
        <w:t>Format of Allotment</w:t>
      </w:r>
      <w:r>
        <w:rPr>
          <w:rFonts w:ascii="Cambria" w:hAnsi="Cambria" w:cs="Times New Roman"/>
        </w:rPr>
        <w:t xml:space="preserve"> </w:t>
      </w:r>
      <w:r w:rsidRPr="00705E89">
        <w:rPr>
          <w:rFonts w:ascii="Cambria" w:hAnsi="Cambria" w:cs="Times New Roman"/>
          <w:b/>
        </w:rPr>
        <w:t>Letter</w:t>
      </w:r>
      <w:r>
        <w:rPr>
          <w:rFonts w:ascii="Cambria" w:hAnsi="Cambria" w:cs="Times New Roman"/>
          <w:b/>
        </w:rPr>
        <w:t>, Notice for Payment of Residual Fees and Checking Original Documents, and Letter of Intimation</w:t>
      </w:r>
    </w:p>
    <w:p w:rsidR="00705E89" w:rsidRDefault="00705E89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sz w:val="24"/>
        </w:rPr>
        <w:t>Annexure D:</w:t>
      </w:r>
      <w:r>
        <w:rPr>
          <w:rFonts w:ascii="Cambria" w:hAnsi="Cambria" w:cs="Times New Roman"/>
          <w:b/>
        </w:rPr>
        <w:tab/>
        <w:t>Format of Lease Agreement of the allotted land</w:t>
      </w:r>
    </w:p>
    <w:p w:rsidR="00705E89" w:rsidRDefault="00705E89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</w:p>
    <w:p w:rsidR="005D71D0" w:rsidRDefault="005D71D0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</w:p>
    <w:p w:rsidR="005D71D0" w:rsidRDefault="005D71D0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</w:p>
    <w:p w:rsidR="005D71D0" w:rsidRDefault="005D71D0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</w:p>
    <w:p w:rsidR="005D71D0" w:rsidRDefault="005D71D0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</w:p>
    <w:p w:rsidR="005D71D0" w:rsidRDefault="005D71D0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</w:p>
    <w:p w:rsidR="005D71D0" w:rsidRDefault="005D71D0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</w:p>
    <w:p w:rsidR="005D71D0" w:rsidRDefault="005D71D0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</w:p>
    <w:p w:rsidR="005D71D0" w:rsidRDefault="005D71D0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</w:p>
    <w:p w:rsidR="005D71D0" w:rsidRDefault="005D71D0" w:rsidP="00B87947">
      <w:pPr>
        <w:pStyle w:val="ListParagraph"/>
        <w:tabs>
          <w:tab w:val="left" w:pos="2520"/>
        </w:tabs>
        <w:spacing w:line="312" w:lineRule="auto"/>
        <w:ind w:left="2520" w:hanging="1800"/>
        <w:contextualSpacing w:val="0"/>
        <w:jc w:val="both"/>
        <w:rPr>
          <w:rFonts w:ascii="Cambria" w:hAnsi="Cambria" w:cs="Times New Roman"/>
          <w:b/>
        </w:rPr>
      </w:pPr>
    </w:p>
    <w:sectPr w:rsidR="005D71D0" w:rsidSect="001D100E">
      <w:headerReference w:type="default" r:id="rId10"/>
      <w:type w:val="continuous"/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4E9" w:rsidRDefault="003D44E9" w:rsidP="003F45E8">
      <w:pPr>
        <w:spacing w:after="0" w:line="240" w:lineRule="auto"/>
      </w:pPr>
      <w:r>
        <w:separator/>
      </w:r>
    </w:p>
  </w:endnote>
  <w:endnote w:type="continuationSeparator" w:id="1">
    <w:p w:rsidR="003D44E9" w:rsidRDefault="003D44E9" w:rsidP="003F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4E9" w:rsidRDefault="003D44E9" w:rsidP="003F45E8">
      <w:pPr>
        <w:spacing w:after="0" w:line="240" w:lineRule="auto"/>
      </w:pPr>
      <w:r>
        <w:separator/>
      </w:r>
    </w:p>
  </w:footnote>
  <w:footnote w:type="continuationSeparator" w:id="1">
    <w:p w:rsidR="003D44E9" w:rsidRDefault="003D44E9" w:rsidP="003F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280491"/>
      <w:docPartObj>
        <w:docPartGallery w:val="Page Numbers (Top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:rsidR="005D71D0" w:rsidRDefault="00A44646" w:rsidP="00262035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r w:rsidRPr="00262035">
          <w:rPr>
            <w:rFonts w:asciiTheme="majorHAnsi" w:hAnsiTheme="majorHAnsi"/>
          </w:rPr>
          <w:fldChar w:fldCharType="begin"/>
        </w:r>
        <w:r w:rsidR="005D71D0" w:rsidRPr="00262035">
          <w:rPr>
            <w:rFonts w:asciiTheme="majorHAnsi" w:hAnsiTheme="majorHAnsi"/>
          </w:rPr>
          <w:instrText xml:space="preserve"> PAGE   \* MERGEFORMAT </w:instrText>
        </w:r>
        <w:r w:rsidRPr="00262035">
          <w:rPr>
            <w:rFonts w:asciiTheme="majorHAnsi" w:hAnsiTheme="majorHAnsi"/>
          </w:rPr>
          <w:fldChar w:fldCharType="separate"/>
        </w:r>
        <w:r w:rsidR="00AC3A9B" w:rsidRPr="00AC3A9B">
          <w:rPr>
            <w:rFonts w:asciiTheme="majorHAnsi" w:hAnsiTheme="majorHAnsi"/>
            <w:b/>
            <w:noProof/>
          </w:rPr>
          <w:t>4</w:t>
        </w:r>
        <w:r w:rsidRPr="00262035">
          <w:rPr>
            <w:rFonts w:asciiTheme="majorHAnsi" w:hAnsiTheme="majorHAnsi"/>
          </w:rPr>
          <w:fldChar w:fldCharType="end"/>
        </w:r>
        <w:r w:rsidR="005D71D0" w:rsidRPr="00262035">
          <w:rPr>
            <w:rFonts w:asciiTheme="majorHAnsi" w:hAnsiTheme="majorHAnsi"/>
            <w:b/>
          </w:rPr>
          <w:t xml:space="preserve"> | </w:t>
        </w:r>
        <w:r w:rsidR="005D71D0" w:rsidRPr="00262035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:rsidR="005D71D0" w:rsidRPr="00EB600E" w:rsidRDefault="005D71D0" w:rsidP="00EB6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9A8"/>
    <w:multiLevelType w:val="hybridMultilevel"/>
    <w:tmpl w:val="311ED808"/>
    <w:lvl w:ilvl="0" w:tplc="F446BD2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B7FC7"/>
    <w:multiLevelType w:val="hybridMultilevel"/>
    <w:tmpl w:val="171009AC"/>
    <w:lvl w:ilvl="0" w:tplc="D7CA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56258"/>
    <w:multiLevelType w:val="hybridMultilevel"/>
    <w:tmpl w:val="39AE2474"/>
    <w:lvl w:ilvl="0" w:tplc="D7CAFC9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3D51DB"/>
    <w:multiLevelType w:val="multilevel"/>
    <w:tmpl w:val="0CEA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338E2"/>
    <w:multiLevelType w:val="hybridMultilevel"/>
    <w:tmpl w:val="EFD213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40AE8"/>
    <w:multiLevelType w:val="hybridMultilevel"/>
    <w:tmpl w:val="7628761C"/>
    <w:lvl w:ilvl="0" w:tplc="57EE9BB8">
      <w:start w:val="1"/>
      <w:numFmt w:val="bullet"/>
      <w:lvlText w:val=""/>
      <w:lvlJc w:val="left"/>
      <w:pPr>
        <w:ind w:left="0" w:firstLine="108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EB58B8"/>
    <w:multiLevelType w:val="hybridMultilevel"/>
    <w:tmpl w:val="C9BE2C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E5A71"/>
    <w:multiLevelType w:val="hybridMultilevel"/>
    <w:tmpl w:val="EE36494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1E06175"/>
    <w:multiLevelType w:val="hybridMultilevel"/>
    <w:tmpl w:val="33D252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4722F"/>
    <w:multiLevelType w:val="hybridMultilevel"/>
    <w:tmpl w:val="8580266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BD704C"/>
    <w:multiLevelType w:val="hybridMultilevel"/>
    <w:tmpl w:val="D0D04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A2354D"/>
    <w:multiLevelType w:val="hybridMultilevel"/>
    <w:tmpl w:val="13B6B09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301"/>
    <w:rsid w:val="00032800"/>
    <w:rsid w:val="00037D70"/>
    <w:rsid w:val="0007027A"/>
    <w:rsid w:val="0009241D"/>
    <w:rsid w:val="000A16B9"/>
    <w:rsid w:val="000A1D1A"/>
    <w:rsid w:val="000C7FAA"/>
    <w:rsid w:val="000D43C0"/>
    <w:rsid w:val="000D7F3C"/>
    <w:rsid w:val="000E676F"/>
    <w:rsid w:val="000F79E2"/>
    <w:rsid w:val="00133651"/>
    <w:rsid w:val="00136452"/>
    <w:rsid w:val="00142EF5"/>
    <w:rsid w:val="001562B5"/>
    <w:rsid w:val="001566E1"/>
    <w:rsid w:val="00177B80"/>
    <w:rsid w:val="001A3997"/>
    <w:rsid w:val="001A4791"/>
    <w:rsid w:val="001B474C"/>
    <w:rsid w:val="001B7572"/>
    <w:rsid w:val="001D100E"/>
    <w:rsid w:val="001F4D9C"/>
    <w:rsid w:val="002000CB"/>
    <w:rsid w:val="00221866"/>
    <w:rsid w:val="00232D66"/>
    <w:rsid w:val="002564C8"/>
    <w:rsid w:val="00262035"/>
    <w:rsid w:val="002839BB"/>
    <w:rsid w:val="002842FC"/>
    <w:rsid w:val="002D24B2"/>
    <w:rsid w:val="002D4749"/>
    <w:rsid w:val="00335891"/>
    <w:rsid w:val="003401D4"/>
    <w:rsid w:val="003449FB"/>
    <w:rsid w:val="00345146"/>
    <w:rsid w:val="003462BE"/>
    <w:rsid w:val="00353284"/>
    <w:rsid w:val="00362B3E"/>
    <w:rsid w:val="003646B2"/>
    <w:rsid w:val="003666BD"/>
    <w:rsid w:val="003C3CB7"/>
    <w:rsid w:val="003D44E9"/>
    <w:rsid w:val="003D574F"/>
    <w:rsid w:val="003F32D4"/>
    <w:rsid w:val="003F45E8"/>
    <w:rsid w:val="00431664"/>
    <w:rsid w:val="004550ED"/>
    <w:rsid w:val="00460DF4"/>
    <w:rsid w:val="00474D03"/>
    <w:rsid w:val="00481760"/>
    <w:rsid w:val="0048499F"/>
    <w:rsid w:val="004A72D5"/>
    <w:rsid w:val="004A7401"/>
    <w:rsid w:val="004B1F6F"/>
    <w:rsid w:val="004B3C69"/>
    <w:rsid w:val="004C6BCA"/>
    <w:rsid w:val="004E14BC"/>
    <w:rsid w:val="00500719"/>
    <w:rsid w:val="005076B4"/>
    <w:rsid w:val="00526075"/>
    <w:rsid w:val="005378B4"/>
    <w:rsid w:val="00537FDE"/>
    <w:rsid w:val="0057114F"/>
    <w:rsid w:val="0058185E"/>
    <w:rsid w:val="005864BA"/>
    <w:rsid w:val="005A2FBD"/>
    <w:rsid w:val="005B3931"/>
    <w:rsid w:val="005B655A"/>
    <w:rsid w:val="005D71D0"/>
    <w:rsid w:val="005E4024"/>
    <w:rsid w:val="005E5DA3"/>
    <w:rsid w:val="00600135"/>
    <w:rsid w:val="00605615"/>
    <w:rsid w:val="00610374"/>
    <w:rsid w:val="00610DB5"/>
    <w:rsid w:val="00612467"/>
    <w:rsid w:val="00630646"/>
    <w:rsid w:val="00640E5C"/>
    <w:rsid w:val="0066606F"/>
    <w:rsid w:val="00691DC6"/>
    <w:rsid w:val="006A1777"/>
    <w:rsid w:val="006F5B05"/>
    <w:rsid w:val="00705E89"/>
    <w:rsid w:val="0070762B"/>
    <w:rsid w:val="00713EA6"/>
    <w:rsid w:val="00754BC3"/>
    <w:rsid w:val="007644C5"/>
    <w:rsid w:val="007751A0"/>
    <w:rsid w:val="0077561F"/>
    <w:rsid w:val="00782B36"/>
    <w:rsid w:val="00783B7F"/>
    <w:rsid w:val="007945AB"/>
    <w:rsid w:val="007A63AF"/>
    <w:rsid w:val="007B532C"/>
    <w:rsid w:val="007D556F"/>
    <w:rsid w:val="007F3E7A"/>
    <w:rsid w:val="00812FAD"/>
    <w:rsid w:val="00825EF9"/>
    <w:rsid w:val="00827A6B"/>
    <w:rsid w:val="00827CC2"/>
    <w:rsid w:val="00853611"/>
    <w:rsid w:val="00853DFA"/>
    <w:rsid w:val="00865DA8"/>
    <w:rsid w:val="0088735D"/>
    <w:rsid w:val="008A380A"/>
    <w:rsid w:val="009001C1"/>
    <w:rsid w:val="00940BE9"/>
    <w:rsid w:val="00941500"/>
    <w:rsid w:val="00961242"/>
    <w:rsid w:val="00964E27"/>
    <w:rsid w:val="009924E7"/>
    <w:rsid w:val="009975D9"/>
    <w:rsid w:val="009A113A"/>
    <w:rsid w:val="009B5846"/>
    <w:rsid w:val="009D232E"/>
    <w:rsid w:val="009E5004"/>
    <w:rsid w:val="009F56A0"/>
    <w:rsid w:val="009F57E5"/>
    <w:rsid w:val="009F6C94"/>
    <w:rsid w:val="00A05B5D"/>
    <w:rsid w:val="00A44646"/>
    <w:rsid w:val="00A4558F"/>
    <w:rsid w:val="00AA67B8"/>
    <w:rsid w:val="00AB1A47"/>
    <w:rsid w:val="00AC3A9B"/>
    <w:rsid w:val="00AD66F5"/>
    <w:rsid w:val="00B00BE0"/>
    <w:rsid w:val="00B27DEB"/>
    <w:rsid w:val="00B41F12"/>
    <w:rsid w:val="00B61AAC"/>
    <w:rsid w:val="00B67C9F"/>
    <w:rsid w:val="00B72E83"/>
    <w:rsid w:val="00B731D5"/>
    <w:rsid w:val="00B87947"/>
    <w:rsid w:val="00BA06D8"/>
    <w:rsid w:val="00BA5381"/>
    <w:rsid w:val="00BA7B17"/>
    <w:rsid w:val="00BD26CF"/>
    <w:rsid w:val="00BF1268"/>
    <w:rsid w:val="00BF2F5A"/>
    <w:rsid w:val="00C00959"/>
    <w:rsid w:val="00C03BF3"/>
    <w:rsid w:val="00C07E1B"/>
    <w:rsid w:val="00C23A37"/>
    <w:rsid w:val="00C37A84"/>
    <w:rsid w:val="00C45194"/>
    <w:rsid w:val="00C70A7B"/>
    <w:rsid w:val="00CC26D8"/>
    <w:rsid w:val="00CC4349"/>
    <w:rsid w:val="00D11D76"/>
    <w:rsid w:val="00D13B7D"/>
    <w:rsid w:val="00D40840"/>
    <w:rsid w:val="00D602B4"/>
    <w:rsid w:val="00D60DF6"/>
    <w:rsid w:val="00D73B26"/>
    <w:rsid w:val="00DC3454"/>
    <w:rsid w:val="00DC45EA"/>
    <w:rsid w:val="00DD28BC"/>
    <w:rsid w:val="00DD76C0"/>
    <w:rsid w:val="00DF21EC"/>
    <w:rsid w:val="00DF63E5"/>
    <w:rsid w:val="00E06AFA"/>
    <w:rsid w:val="00E33FBF"/>
    <w:rsid w:val="00E4308D"/>
    <w:rsid w:val="00E47F2D"/>
    <w:rsid w:val="00E60668"/>
    <w:rsid w:val="00E815CE"/>
    <w:rsid w:val="00E829AB"/>
    <w:rsid w:val="00E96D6D"/>
    <w:rsid w:val="00EA5AE9"/>
    <w:rsid w:val="00EB5378"/>
    <w:rsid w:val="00EB600E"/>
    <w:rsid w:val="00F23301"/>
    <w:rsid w:val="00F45177"/>
    <w:rsid w:val="00F47015"/>
    <w:rsid w:val="00F56AE7"/>
    <w:rsid w:val="00F63EA9"/>
    <w:rsid w:val="00F70C9D"/>
    <w:rsid w:val="00FA108F"/>
    <w:rsid w:val="00FB38E8"/>
    <w:rsid w:val="00FB47AB"/>
    <w:rsid w:val="00FC588E"/>
    <w:rsid w:val="00FD7D2F"/>
    <w:rsid w:val="00FE2A19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6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E8"/>
  </w:style>
  <w:style w:type="paragraph" w:styleId="Footer">
    <w:name w:val="footer"/>
    <w:basedOn w:val="Normal"/>
    <w:link w:val="FooterChar"/>
    <w:uiPriority w:val="99"/>
    <w:semiHidden/>
    <w:unhideWhenUsed/>
    <w:rsid w:val="003F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6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0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2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93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4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9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46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42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eofdoingbusinessinassam.in/" TargetMode="Externa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21D5E5-EE9D-47EA-AA5F-7BFA1AE84ACB}">
      <dsp:nvSpPr>
        <dsp:cNvPr id="0" name=""/>
        <dsp:cNvSpPr/>
      </dsp:nvSpPr>
      <dsp:spPr>
        <a:xfrm rot="5400000">
          <a:off x="-109537" y="110486"/>
          <a:ext cx="730253" cy="51117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300" kern="1200">
              <a:latin typeface="Times New Roman" pitchFamily="18" charset="0"/>
              <a:cs typeface="Times New Roman" pitchFamily="18" charset="0"/>
            </a:rPr>
            <a:t>Stage 1</a:t>
          </a:r>
        </a:p>
      </dsp:txBody>
      <dsp:txXfrm rot="-5400000">
        <a:off x="2" y="256537"/>
        <a:ext cx="511177" cy="219076"/>
      </dsp:txXfrm>
    </dsp:sp>
    <dsp:sp modelId="{B24E8AB0-7DCE-49DF-B4DA-E1F55952A5B9}">
      <dsp:nvSpPr>
        <dsp:cNvPr id="0" name=""/>
        <dsp:cNvSpPr/>
      </dsp:nvSpPr>
      <dsp:spPr>
        <a:xfrm rot="5400000">
          <a:off x="2294731" y="-1782605"/>
          <a:ext cx="474664" cy="40417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Times New Roman" pitchFamily="18" charset="0"/>
              <a:cs typeface="Times New Roman" pitchFamily="18" charset="0"/>
            </a:rPr>
            <a:t>Online Application by Applicant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Times New Roman" pitchFamily="18" charset="0"/>
              <a:cs typeface="Times New Roman" pitchFamily="18" charset="0"/>
            </a:rPr>
            <a:t>Submission of Application with Fees (Issue of </a:t>
          </a:r>
          <a:r>
            <a:rPr lang="en-IN" sz="1100" b="1" kern="1200"/>
            <a:t>Comfort Letter</a:t>
          </a:r>
          <a:r>
            <a:rPr lang="en-IN" sz="1100" kern="1200"/>
            <a:t> </a:t>
          </a:r>
          <a:r>
            <a:rPr lang="en-IN" sz="1100" kern="1200">
              <a:latin typeface="Times New Roman" pitchFamily="18" charset="0"/>
              <a:cs typeface="Times New Roman" pitchFamily="18" charset="0"/>
            </a:rPr>
            <a:t>)</a:t>
          </a:r>
        </a:p>
      </dsp:txBody>
      <dsp:txXfrm rot="-5400000">
        <a:off x="511178" y="24119"/>
        <a:ext cx="4018601" cy="428322"/>
      </dsp:txXfrm>
    </dsp:sp>
    <dsp:sp modelId="{19E4CE0E-B096-4F5F-9EC0-560ABE109739}">
      <dsp:nvSpPr>
        <dsp:cNvPr id="0" name=""/>
        <dsp:cNvSpPr/>
      </dsp:nvSpPr>
      <dsp:spPr>
        <a:xfrm rot="5400000">
          <a:off x="-109537" y="687386"/>
          <a:ext cx="730253" cy="51117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300" kern="1200">
              <a:latin typeface="Times New Roman" pitchFamily="18" charset="0"/>
              <a:cs typeface="Times New Roman" pitchFamily="18" charset="0"/>
            </a:rPr>
            <a:t>Stage 2</a:t>
          </a:r>
        </a:p>
      </dsp:txBody>
      <dsp:txXfrm rot="-5400000">
        <a:off x="2" y="833437"/>
        <a:ext cx="511177" cy="219076"/>
      </dsp:txXfrm>
    </dsp:sp>
    <dsp:sp modelId="{575EA362-29D3-457F-89D9-4FFAA36F2C22}">
      <dsp:nvSpPr>
        <dsp:cNvPr id="0" name=""/>
        <dsp:cNvSpPr/>
      </dsp:nvSpPr>
      <dsp:spPr>
        <a:xfrm rot="5400000">
          <a:off x="2294731" y="-1205705"/>
          <a:ext cx="474664" cy="40417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Times New Roman" pitchFamily="18" charset="0"/>
              <a:cs typeface="Times New Roman" pitchFamily="18" charset="0"/>
            </a:rPr>
            <a:t>Presentation Before Screening Committee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Times New Roman" pitchFamily="18" charset="0"/>
              <a:cs typeface="Times New Roman" pitchFamily="18" charset="0"/>
            </a:rPr>
            <a:t> Allottment by State Level Committee</a:t>
          </a:r>
        </a:p>
      </dsp:txBody>
      <dsp:txXfrm rot="-5400000">
        <a:off x="511178" y="601019"/>
        <a:ext cx="4018601" cy="428322"/>
      </dsp:txXfrm>
    </dsp:sp>
    <dsp:sp modelId="{BB6EA9D9-9B7F-4A0F-AA7A-9B0F2429A740}">
      <dsp:nvSpPr>
        <dsp:cNvPr id="0" name=""/>
        <dsp:cNvSpPr/>
      </dsp:nvSpPr>
      <dsp:spPr>
        <a:xfrm rot="5400000">
          <a:off x="-109537" y="1264286"/>
          <a:ext cx="730253" cy="51117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300" kern="1200">
              <a:latin typeface="Times New Roman" pitchFamily="18" charset="0"/>
              <a:cs typeface="Times New Roman" pitchFamily="18" charset="0"/>
            </a:rPr>
            <a:t>Stage 3</a:t>
          </a:r>
        </a:p>
      </dsp:txBody>
      <dsp:txXfrm rot="-5400000">
        <a:off x="2" y="1410337"/>
        <a:ext cx="511177" cy="219076"/>
      </dsp:txXfrm>
    </dsp:sp>
    <dsp:sp modelId="{579F01B5-3A72-43AB-A21A-F926744871E3}">
      <dsp:nvSpPr>
        <dsp:cNvPr id="0" name=""/>
        <dsp:cNvSpPr/>
      </dsp:nvSpPr>
      <dsp:spPr>
        <a:xfrm rot="5400000">
          <a:off x="2294731" y="-628805"/>
          <a:ext cx="474664" cy="40417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Times New Roman" pitchFamily="18" charset="0"/>
              <a:cs typeface="Times New Roman" pitchFamily="18" charset="0"/>
            </a:rPr>
            <a:t>Agreement execution along with development fees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Times New Roman" pitchFamily="18" charset="0"/>
              <a:cs typeface="Times New Roman" pitchFamily="18" charset="0"/>
            </a:rPr>
            <a:t>Taking of possession</a:t>
          </a:r>
        </a:p>
      </dsp:txBody>
      <dsp:txXfrm rot="-5400000">
        <a:off x="511178" y="1177919"/>
        <a:ext cx="4018601" cy="428322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DC2F-54B0-4604-B74B-7FCA0C2D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60</cp:revision>
  <cp:lastPrinted>2018-04-23T10:21:00Z</cp:lastPrinted>
  <dcterms:created xsi:type="dcterms:W3CDTF">2018-04-19T05:17:00Z</dcterms:created>
  <dcterms:modified xsi:type="dcterms:W3CDTF">2018-05-25T09:35:00Z</dcterms:modified>
</cp:coreProperties>
</file>